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80B0D">
      <w:pPr>
        <w:spacing w:line="560" w:lineRule="exact"/>
        <w:jc w:val="center"/>
        <w:rPr>
          <w:rFonts w:ascii="宋体" w:hAnsi="宋体"/>
          <w:b/>
          <w:sz w:val="36"/>
          <w:szCs w:val="36"/>
        </w:rPr>
      </w:pPr>
      <w:r>
        <w:rPr>
          <w:rFonts w:hint="eastAsia" w:ascii="宋体" w:hAnsi="宋体"/>
          <w:b/>
          <w:sz w:val="36"/>
          <w:szCs w:val="36"/>
        </w:rPr>
        <w:t>防冲撞升降柱（防</w:t>
      </w:r>
      <w:r>
        <w:rPr>
          <w:rFonts w:hint="eastAsia" w:ascii="宋体" w:hAnsi="宋体"/>
          <w:b/>
          <w:sz w:val="36"/>
          <w:szCs w:val="36"/>
          <w:lang w:val="en-US" w:eastAsia="zh-CN"/>
        </w:rPr>
        <w:t>暴</w:t>
      </w:r>
      <w:r>
        <w:rPr>
          <w:rFonts w:hint="eastAsia" w:ascii="宋体" w:hAnsi="宋体"/>
          <w:b/>
          <w:sz w:val="36"/>
          <w:szCs w:val="36"/>
        </w:rPr>
        <w:t>升降式阻车路障）的</w:t>
      </w:r>
    </w:p>
    <w:p w14:paraId="7DCB878E">
      <w:pPr>
        <w:spacing w:line="560" w:lineRule="exact"/>
        <w:jc w:val="center"/>
        <w:rPr>
          <w:rFonts w:ascii="宋体" w:hAnsi="宋体"/>
          <w:b/>
          <w:sz w:val="36"/>
          <w:szCs w:val="36"/>
        </w:rPr>
      </w:pPr>
      <w:r>
        <w:rPr>
          <w:rFonts w:hint="eastAsia" w:ascii="宋体" w:hAnsi="宋体"/>
          <w:b/>
          <w:sz w:val="36"/>
          <w:szCs w:val="36"/>
        </w:rPr>
        <w:t>技术要求和比选评分标准</w:t>
      </w:r>
    </w:p>
    <w:p w14:paraId="3C1D8E90">
      <w:pPr>
        <w:pStyle w:val="2"/>
        <w:rPr>
          <w:rFonts w:hint="eastAsia"/>
        </w:rPr>
      </w:pPr>
    </w:p>
    <w:p w14:paraId="033D3154">
      <w:pPr>
        <w:spacing w:line="560" w:lineRule="exact"/>
        <w:jc w:val="left"/>
        <w:rPr>
          <w:rFonts w:hint="eastAsia" w:ascii="等线" w:hAnsi="等线"/>
          <w:b/>
          <w:bCs/>
          <w:sz w:val="24"/>
        </w:rPr>
      </w:pPr>
      <w:r>
        <w:rPr>
          <w:rFonts w:hint="eastAsia" w:ascii="等线" w:hAnsi="等线"/>
          <w:b/>
          <w:bCs/>
          <w:sz w:val="24"/>
        </w:rPr>
        <w:t>一、技术要求</w:t>
      </w:r>
      <w:bookmarkStart w:id="0" w:name="_GoBack"/>
      <w:bookmarkEnd w:id="0"/>
    </w:p>
    <w:p w14:paraId="22775C91">
      <w:pPr>
        <w:spacing w:line="560" w:lineRule="exact"/>
        <w:ind w:firstLine="480" w:firstLineChars="200"/>
        <w:jc w:val="left"/>
        <w:rPr>
          <w:rFonts w:hint="eastAsia" w:ascii="等线" w:hAnsi="等线"/>
          <w:sz w:val="24"/>
        </w:rPr>
      </w:pPr>
      <w:r>
        <w:rPr>
          <w:rFonts w:hint="eastAsia" w:ascii="等线" w:hAnsi="等线"/>
          <w:sz w:val="24"/>
        </w:rPr>
        <w:t>（一）阻挡高度和间距</w:t>
      </w:r>
    </w:p>
    <w:p w14:paraId="4B3DB907">
      <w:pPr>
        <w:spacing w:line="560" w:lineRule="exact"/>
        <w:ind w:firstLine="480" w:firstLineChars="200"/>
        <w:jc w:val="left"/>
        <w:rPr>
          <w:rFonts w:hint="eastAsia" w:ascii="等线" w:hAnsi="等线"/>
          <w:sz w:val="24"/>
        </w:rPr>
      </w:pPr>
      <w:r>
        <w:rPr>
          <w:rFonts w:hint="eastAsia" w:ascii="等线" w:hAnsi="等线"/>
          <w:sz w:val="24"/>
        </w:rPr>
        <w:t>按照中华人民共和国公共安全行业标准《防暴升降式阻车路障》GA/T 1343-2016规范要求，路障阻挡主体升起后的有效高度应大于或等于600 mm，阻挡主体间距应小于或等于 800 mm。</w:t>
      </w:r>
    </w:p>
    <w:p w14:paraId="65DCCB65">
      <w:pPr>
        <w:spacing w:line="560" w:lineRule="exact"/>
        <w:ind w:firstLine="480" w:firstLineChars="200"/>
        <w:jc w:val="left"/>
        <w:rPr>
          <w:rFonts w:hint="eastAsia" w:ascii="等线" w:hAnsi="等线"/>
          <w:sz w:val="24"/>
        </w:rPr>
      </w:pPr>
      <w:r>
        <w:rPr>
          <w:rFonts w:hint="eastAsia" w:ascii="等线" w:hAnsi="等线"/>
          <w:sz w:val="24"/>
        </w:rPr>
        <w:t>（二）升降性能</w:t>
      </w:r>
    </w:p>
    <w:p w14:paraId="314F27A7">
      <w:pPr>
        <w:spacing w:line="560" w:lineRule="exact"/>
        <w:ind w:firstLine="480" w:firstLineChars="200"/>
        <w:jc w:val="left"/>
        <w:rPr>
          <w:rFonts w:ascii="等线" w:hAnsi="等线"/>
          <w:sz w:val="24"/>
        </w:rPr>
      </w:pPr>
      <w:r>
        <w:rPr>
          <w:rFonts w:ascii="等线" w:hAnsi="等线"/>
          <w:sz w:val="24"/>
        </w:rPr>
        <w:t>路障阻挡主体应能正常升降</w:t>
      </w:r>
      <w:r>
        <w:rPr>
          <w:rFonts w:hint="eastAsia" w:ascii="等线" w:hAnsi="等线"/>
          <w:sz w:val="24"/>
        </w:rPr>
        <w:t>、</w:t>
      </w:r>
      <w:r>
        <w:rPr>
          <w:rFonts w:ascii="等线" w:hAnsi="等线"/>
          <w:sz w:val="24"/>
        </w:rPr>
        <w:t>无卡滞</w:t>
      </w:r>
      <w:r>
        <w:rPr>
          <w:rFonts w:hint="eastAsia" w:ascii="等线" w:hAnsi="等线"/>
          <w:sz w:val="24"/>
        </w:rPr>
        <w:t>、</w:t>
      </w:r>
      <w:r>
        <w:rPr>
          <w:rFonts w:ascii="等线" w:hAnsi="等线"/>
          <w:sz w:val="24"/>
        </w:rPr>
        <w:t>到位</w:t>
      </w:r>
      <w:r>
        <w:rPr>
          <w:rFonts w:hint="eastAsia" w:ascii="等线" w:hAnsi="等线"/>
          <w:sz w:val="24"/>
        </w:rPr>
        <w:t>可靠；</w:t>
      </w:r>
      <w:r>
        <w:rPr>
          <w:rFonts w:ascii="等线" w:hAnsi="等线"/>
          <w:sz w:val="24"/>
        </w:rPr>
        <w:t>升起速度大于或等于150 mm/s</w:t>
      </w:r>
      <w:r>
        <w:rPr>
          <w:rFonts w:hint="eastAsia" w:ascii="等线" w:hAnsi="等线"/>
          <w:sz w:val="24"/>
        </w:rPr>
        <w:t>。</w:t>
      </w:r>
      <w:r>
        <w:rPr>
          <w:rFonts w:ascii="等线" w:hAnsi="等线"/>
          <w:sz w:val="24"/>
        </w:rPr>
        <w:t>在外部供电停止状态下,应自备电源或具有手动升降功能。</w:t>
      </w:r>
    </w:p>
    <w:p w14:paraId="4325CAE4">
      <w:pPr>
        <w:spacing w:line="560" w:lineRule="exact"/>
        <w:ind w:firstLine="480" w:firstLineChars="200"/>
        <w:jc w:val="left"/>
        <w:rPr>
          <w:rFonts w:hint="eastAsia" w:ascii="等线" w:hAnsi="等线"/>
          <w:sz w:val="24"/>
        </w:rPr>
      </w:pPr>
      <w:r>
        <w:rPr>
          <w:rFonts w:hint="eastAsia" w:ascii="等线" w:hAnsi="等线"/>
          <w:sz w:val="24"/>
        </w:rPr>
        <w:t>（三）警示标识</w:t>
      </w:r>
    </w:p>
    <w:p w14:paraId="643AE065">
      <w:pPr>
        <w:spacing w:line="560" w:lineRule="exact"/>
        <w:ind w:firstLine="480" w:firstLineChars="200"/>
        <w:jc w:val="left"/>
        <w:rPr>
          <w:rFonts w:hint="eastAsia" w:ascii="等线" w:hAnsi="等线"/>
          <w:sz w:val="24"/>
        </w:rPr>
      </w:pPr>
      <w:r>
        <w:rPr>
          <w:rFonts w:ascii="等线" w:hAnsi="等线"/>
          <w:sz w:val="24"/>
        </w:rPr>
        <w:t>路障阻挡主体上应具有明显的警示标识,且具有夜间警示功能</w:t>
      </w:r>
      <w:r>
        <w:rPr>
          <w:rFonts w:hint="eastAsia" w:ascii="等线" w:hAnsi="等线"/>
          <w:sz w:val="24"/>
        </w:rPr>
        <w:t>（带L</w:t>
      </w:r>
      <w:r>
        <w:rPr>
          <w:rFonts w:ascii="等线" w:hAnsi="等线"/>
          <w:sz w:val="24"/>
        </w:rPr>
        <w:t>ED</w:t>
      </w:r>
      <w:r>
        <w:rPr>
          <w:rFonts w:hint="eastAsia" w:ascii="等线" w:hAnsi="等线"/>
          <w:sz w:val="24"/>
        </w:rPr>
        <w:t>灯）。</w:t>
      </w:r>
    </w:p>
    <w:p w14:paraId="11A4B847">
      <w:pPr>
        <w:spacing w:line="560" w:lineRule="exact"/>
        <w:ind w:firstLine="480" w:firstLineChars="200"/>
        <w:jc w:val="left"/>
        <w:rPr>
          <w:rFonts w:ascii="等线" w:hAnsi="等线"/>
          <w:sz w:val="24"/>
        </w:rPr>
      </w:pPr>
      <w:r>
        <w:rPr>
          <w:rFonts w:hint="eastAsia" w:ascii="等线" w:hAnsi="等线"/>
          <w:sz w:val="24"/>
        </w:rPr>
        <w:t>（四）阻挡能力等级</w:t>
      </w:r>
    </w:p>
    <w:p w14:paraId="2E89C39B">
      <w:pPr>
        <w:spacing w:line="560" w:lineRule="exact"/>
        <w:ind w:firstLine="480" w:firstLineChars="200"/>
        <w:jc w:val="left"/>
        <w:rPr>
          <w:rFonts w:hint="eastAsia" w:ascii="宋体" w:hAnsi="宋体" w:cs="宋体"/>
          <w:sz w:val="24"/>
        </w:rPr>
      </w:pPr>
      <w:r>
        <w:rPr>
          <w:rFonts w:hint="eastAsia" w:ascii="宋体" w:hAnsi="宋体" w:cs="宋体"/>
          <w:sz w:val="24"/>
        </w:rPr>
        <w:t>不低于B1级（详情见GA/T 1343-2016规范要求）。</w:t>
      </w:r>
    </w:p>
    <w:p w14:paraId="105ACEF7">
      <w:pPr>
        <w:spacing w:line="560" w:lineRule="exact"/>
        <w:ind w:firstLine="480" w:firstLineChars="200"/>
        <w:jc w:val="left"/>
        <w:rPr>
          <w:rFonts w:hint="eastAsia" w:ascii="等线" w:hAnsi="等线"/>
          <w:sz w:val="24"/>
        </w:rPr>
      </w:pPr>
      <w:r>
        <w:rPr>
          <w:rFonts w:hint="eastAsia" w:ascii="等线" w:hAnsi="等线"/>
          <w:sz w:val="24"/>
        </w:rPr>
        <w:t>（五）安全可靠性</w:t>
      </w:r>
    </w:p>
    <w:p w14:paraId="7DC3C3AE">
      <w:pPr>
        <w:spacing w:line="560" w:lineRule="exact"/>
        <w:ind w:firstLine="480" w:firstLineChars="200"/>
        <w:jc w:val="left"/>
      </w:pPr>
      <w:r>
        <w:rPr>
          <w:rFonts w:hint="eastAsia" w:ascii="等线" w:hAnsi="等线"/>
          <w:sz w:val="24"/>
        </w:rPr>
        <w:t>两套阻车路障均需单独配置地感线圈等安全防护装置，避免因操作不当或系统不稳定造成正常进出的车辆受损。设备制造厂商需对阻车路障产品购买责任险，因设备质量原因造成正常通行的车辆损坏等一切损失由设备制造厂商承担（非法冲闯车辆除外）。</w:t>
      </w:r>
    </w:p>
    <w:p w14:paraId="700D48E5">
      <w:pPr>
        <w:spacing w:line="560" w:lineRule="exact"/>
        <w:jc w:val="left"/>
        <w:rPr>
          <w:rFonts w:ascii="等线" w:hAnsi="等线"/>
          <w:b/>
          <w:bCs/>
          <w:sz w:val="24"/>
        </w:rPr>
      </w:pPr>
      <w:r>
        <w:rPr>
          <w:rFonts w:hint="eastAsia" w:ascii="等线" w:hAnsi="等线"/>
          <w:b/>
          <w:bCs/>
          <w:sz w:val="24"/>
        </w:rPr>
        <w:t>二、主要设备技术参数</w:t>
      </w:r>
    </w:p>
    <w:p w14:paraId="761E48B7">
      <w:pPr>
        <w:spacing w:line="560" w:lineRule="exact"/>
        <w:ind w:firstLine="480" w:firstLineChars="200"/>
        <w:jc w:val="left"/>
        <w:rPr>
          <w:rFonts w:hint="eastAsia" w:ascii="宋体" w:hAnsi="宋体" w:cs="宋体"/>
          <w:sz w:val="24"/>
        </w:rPr>
      </w:pPr>
      <w:r>
        <w:rPr>
          <w:rFonts w:hint="eastAsia" w:ascii="宋体" w:hAnsi="宋体" w:cs="宋体"/>
          <w:sz w:val="24"/>
        </w:rPr>
        <w:t>（一）液压升降柱：</w:t>
      </w:r>
    </w:p>
    <w:p w14:paraId="4ED8AE37">
      <w:pPr>
        <w:spacing w:line="560" w:lineRule="exact"/>
        <w:ind w:firstLine="480" w:firstLineChars="200"/>
        <w:jc w:val="left"/>
        <w:rPr>
          <w:rFonts w:hint="eastAsia" w:ascii="宋体" w:hAnsi="宋体" w:cs="宋体"/>
          <w:sz w:val="24"/>
        </w:rPr>
      </w:pPr>
      <w:r>
        <w:rPr>
          <w:rFonts w:hint="eastAsia" w:ascii="宋体" w:hAnsi="宋体" w:cs="宋体"/>
          <w:sz w:val="24"/>
        </w:rPr>
        <w:t>1、路障表面应无锈蚀和机械损伤、紧固部件应牢固可靠，无松动、升降应灵活；</w:t>
      </w:r>
    </w:p>
    <w:p w14:paraId="1C239D48">
      <w:pPr>
        <w:spacing w:line="560" w:lineRule="exact"/>
        <w:ind w:firstLine="480" w:firstLineChars="200"/>
        <w:jc w:val="left"/>
        <w:rPr>
          <w:rFonts w:hint="eastAsia" w:ascii="宋体" w:hAnsi="宋体" w:cs="宋体"/>
          <w:sz w:val="24"/>
        </w:rPr>
      </w:pPr>
      <w:r>
        <w:rPr>
          <w:rFonts w:hint="eastAsia" w:ascii="宋体" w:hAnsi="宋体" w:cs="宋体"/>
          <w:sz w:val="24"/>
        </w:rPr>
        <w:t>2、</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运动柱体材质及表面处理：304不锈钢管，表面拉丝处理(提供国家权威机构出具的升降柱304不绣钢管检验报告复印件)；</w:t>
      </w:r>
    </w:p>
    <w:p w14:paraId="68E23A27">
      <w:pPr>
        <w:spacing w:line="560" w:lineRule="exact"/>
        <w:ind w:firstLine="480" w:firstLineChars="200"/>
        <w:jc w:val="left"/>
        <w:rPr>
          <w:rFonts w:hint="eastAsia" w:ascii="宋体" w:hAnsi="宋体" w:cs="宋体"/>
          <w:sz w:val="24"/>
        </w:rPr>
      </w:pPr>
      <w:r>
        <w:rPr>
          <w:rFonts w:hint="eastAsia" w:ascii="宋体" w:hAnsi="宋体" w:cs="宋体"/>
          <w:sz w:val="24"/>
        </w:rPr>
        <w:t>3、</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运动柱体材质强度：304不绣钢管，抗拉强度不小于640Mpa，规定塑性延伸强度不小于220Mpa(提供国家权威机构出具的升降柱304不绣钢管检验报告复印件)；</w:t>
      </w:r>
    </w:p>
    <w:p w14:paraId="47357CA3">
      <w:pPr>
        <w:spacing w:line="560" w:lineRule="exact"/>
        <w:ind w:firstLine="480" w:firstLineChars="200"/>
        <w:jc w:val="left"/>
        <w:rPr>
          <w:rFonts w:hint="eastAsia" w:ascii="宋体" w:hAnsi="宋体" w:cs="宋体"/>
          <w:sz w:val="24"/>
        </w:rPr>
      </w:pPr>
      <w:r>
        <w:rPr>
          <w:rFonts w:hint="eastAsia" w:ascii="宋体" w:hAnsi="宋体" w:cs="宋体"/>
          <w:sz w:val="24"/>
        </w:rPr>
        <w:t>4、</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地面法兰面盘材质：304不锈钢(提供国家权威机构出具的升降柱304 不绣钢法兰面盘检验报告复印件)；</w:t>
      </w:r>
    </w:p>
    <w:p w14:paraId="2AE17756">
      <w:pPr>
        <w:spacing w:line="560" w:lineRule="exact"/>
        <w:ind w:firstLine="480" w:firstLineChars="200"/>
        <w:jc w:val="left"/>
        <w:rPr>
          <w:rFonts w:hint="eastAsia" w:ascii="宋体" w:hAnsi="宋体" w:cs="宋体"/>
          <w:sz w:val="24"/>
        </w:rPr>
      </w:pPr>
      <w:r>
        <w:rPr>
          <w:rFonts w:hint="eastAsia" w:ascii="宋体" w:hAnsi="宋体" w:cs="宋体"/>
          <w:sz w:val="24"/>
        </w:rPr>
        <w:t>5、</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地面法兰面盘强度：抗拉强度不小于800Mpa，规定塑性延伸强度不小于320Mpa(提供国家权威机构出具的升降柱304不绣钢法兰面盘检验报告复印件)；</w:t>
      </w:r>
    </w:p>
    <w:p w14:paraId="09666277">
      <w:pPr>
        <w:spacing w:line="560" w:lineRule="exact"/>
        <w:ind w:firstLine="480" w:firstLineChars="200"/>
        <w:jc w:val="left"/>
        <w:rPr>
          <w:rFonts w:hint="eastAsia" w:ascii="宋体" w:hAnsi="宋体" w:cs="宋体"/>
          <w:sz w:val="24"/>
        </w:rPr>
      </w:pPr>
      <w:r>
        <w:rPr>
          <w:rFonts w:hint="eastAsia" w:ascii="宋体" w:hAnsi="宋体" w:cs="宋体"/>
          <w:sz w:val="24"/>
        </w:rPr>
        <w:t>6、升降柱驱动方式：液压驱动；</w:t>
      </w:r>
    </w:p>
    <w:p w14:paraId="49D870A6">
      <w:pPr>
        <w:spacing w:line="560" w:lineRule="exact"/>
        <w:ind w:firstLine="480" w:firstLineChars="200"/>
        <w:jc w:val="left"/>
        <w:rPr>
          <w:rFonts w:hint="eastAsia" w:ascii="宋体" w:hAnsi="宋体" w:cs="宋体"/>
          <w:sz w:val="24"/>
        </w:rPr>
      </w:pPr>
      <w:r>
        <w:rPr>
          <w:rFonts w:hint="eastAsia" w:ascii="宋体" w:hAnsi="宋体" w:cs="宋体"/>
          <w:sz w:val="24"/>
        </w:rPr>
        <w:t>7、</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集成式铝合金液压驱动单元：外壳防护等级应符合GB/T4208-2017中IP68要求(提供国家权威机构出具的检验报告复印件)；</w:t>
      </w:r>
    </w:p>
    <w:p w14:paraId="1F1A015F">
      <w:pPr>
        <w:spacing w:line="560" w:lineRule="exact"/>
        <w:ind w:firstLine="480" w:firstLineChars="200"/>
        <w:jc w:val="left"/>
        <w:rPr>
          <w:rFonts w:hint="eastAsia" w:ascii="宋体" w:hAnsi="宋体" w:cs="宋体"/>
          <w:sz w:val="24"/>
        </w:rPr>
      </w:pPr>
      <w:r>
        <w:rPr>
          <w:rFonts w:hint="eastAsia" w:ascii="宋体" w:hAnsi="宋体" w:cs="宋体"/>
          <w:sz w:val="24"/>
        </w:rPr>
        <w:t>8、升降柱柱体阻挡高度：≥600mm；</w:t>
      </w:r>
    </w:p>
    <w:p w14:paraId="7C5DA111">
      <w:pPr>
        <w:spacing w:line="560" w:lineRule="exact"/>
        <w:ind w:firstLine="480" w:firstLineChars="200"/>
        <w:jc w:val="left"/>
        <w:rPr>
          <w:rFonts w:hint="eastAsia" w:ascii="宋体" w:hAnsi="宋体" w:cs="宋体"/>
          <w:sz w:val="24"/>
        </w:rPr>
      </w:pPr>
      <w:r>
        <w:rPr>
          <w:rFonts w:hint="eastAsia" w:ascii="宋体" w:hAnsi="宋体" w:cs="宋体"/>
          <w:sz w:val="24"/>
        </w:rPr>
        <w:t>9、升降柱立柱外径: ≥217mm；</w:t>
      </w:r>
    </w:p>
    <w:p w14:paraId="26653B8B">
      <w:pPr>
        <w:spacing w:line="560" w:lineRule="exact"/>
        <w:ind w:firstLine="480" w:firstLineChars="200"/>
        <w:jc w:val="left"/>
        <w:rPr>
          <w:rFonts w:hint="eastAsia" w:ascii="宋体" w:hAnsi="宋体" w:cs="宋体"/>
          <w:sz w:val="24"/>
        </w:rPr>
      </w:pPr>
      <w:r>
        <w:rPr>
          <w:rFonts w:hint="eastAsia" w:ascii="宋体" w:hAnsi="宋体" w:cs="宋体"/>
          <w:sz w:val="24"/>
        </w:rPr>
        <w:t>10、柱体壁厚：≥6mm；</w:t>
      </w:r>
    </w:p>
    <w:p w14:paraId="4E4C7D57">
      <w:pPr>
        <w:spacing w:line="560" w:lineRule="exact"/>
        <w:ind w:firstLine="480" w:firstLineChars="200"/>
        <w:jc w:val="left"/>
        <w:rPr>
          <w:rFonts w:hint="eastAsia" w:ascii="宋体" w:hAnsi="宋体" w:cs="宋体"/>
          <w:sz w:val="24"/>
        </w:rPr>
      </w:pPr>
      <w:r>
        <w:rPr>
          <w:rFonts w:hint="eastAsia" w:ascii="宋体" w:hAnsi="宋体" w:cs="宋体"/>
          <w:sz w:val="24"/>
        </w:rPr>
        <w:t>11、警示标识：阻挡主体上应具有明显的警示标识，带 LED灯，具有夜间警示功能；</w:t>
      </w:r>
    </w:p>
    <w:p w14:paraId="328124D8">
      <w:pPr>
        <w:spacing w:line="560" w:lineRule="exact"/>
        <w:ind w:firstLine="480" w:firstLineChars="200"/>
        <w:jc w:val="left"/>
        <w:rPr>
          <w:rFonts w:hint="eastAsia" w:ascii="宋体" w:hAnsi="宋体" w:cs="宋体"/>
          <w:sz w:val="24"/>
        </w:rPr>
      </w:pPr>
      <w:r>
        <w:rPr>
          <w:rFonts w:hint="eastAsia" w:ascii="宋体" w:hAnsi="宋体" w:cs="宋体"/>
          <w:sz w:val="24"/>
        </w:rPr>
        <w:t>12、断电泄压装置：在出现外部断电的情况下，可手动释放升降柱；</w:t>
      </w:r>
    </w:p>
    <w:p w14:paraId="14E23779">
      <w:pPr>
        <w:spacing w:line="560" w:lineRule="exact"/>
        <w:ind w:firstLine="480" w:firstLineChars="200"/>
        <w:jc w:val="left"/>
        <w:rPr>
          <w:rFonts w:hint="eastAsia" w:ascii="宋体" w:hAnsi="宋体" w:cs="宋体"/>
          <w:sz w:val="24"/>
        </w:rPr>
      </w:pPr>
      <w:r>
        <w:rPr>
          <w:rFonts w:hint="eastAsia" w:ascii="宋体" w:hAnsi="宋体" w:cs="宋体"/>
          <w:sz w:val="24"/>
        </w:rPr>
        <w:t>13、</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升降性能：阻挡柱体应能正常升降、无卡滞、到位可靠；升起速度≥150mm/s（提提供国家权威机构出具的、检验依据为GA/T1343-2016的检验报告复印件并加盖制造商公章）；</w:t>
      </w:r>
    </w:p>
    <w:p w14:paraId="6527578C">
      <w:pPr>
        <w:spacing w:line="560" w:lineRule="exact"/>
        <w:ind w:firstLine="480" w:firstLineChars="200"/>
        <w:jc w:val="left"/>
        <w:rPr>
          <w:rFonts w:hint="eastAsia" w:ascii="宋体" w:hAnsi="宋体" w:cs="宋体"/>
          <w:sz w:val="24"/>
        </w:rPr>
      </w:pPr>
      <w:r>
        <w:rPr>
          <w:rFonts w:hint="eastAsia" w:ascii="宋体" w:hAnsi="宋体" w:cs="宋体"/>
          <w:sz w:val="24"/>
        </w:rPr>
        <w:t>16、</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阻挡性能检验后路障状态和升降情况：路障保持阻挡状态，升降正常（提供国家权威机构出具的、检验依据为GA/T1343-2016 的检验报告复印件并加盖制造商公章）；</w:t>
      </w:r>
    </w:p>
    <w:p w14:paraId="6C41B870">
      <w:pPr>
        <w:spacing w:line="560" w:lineRule="exact"/>
        <w:ind w:firstLine="480" w:firstLineChars="200"/>
        <w:jc w:val="left"/>
        <w:rPr>
          <w:rFonts w:hint="eastAsia" w:ascii="宋体" w:hAnsi="宋体" w:cs="宋体"/>
          <w:sz w:val="24"/>
        </w:rPr>
      </w:pPr>
      <w:r>
        <w:rPr>
          <w:rFonts w:hint="eastAsia" w:ascii="宋体" w:hAnsi="宋体" w:cs="宋体"/>
          <w:sz w:val="24"/>
        </w:rPr>
        <w:t>17、</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防腐性能：路障阻挡主体应进行防锈处理，耐腐蚀等级≥9级（提供国家权威机构出具的、检验依据为GA/T1343-2016 的检验报告复印件并加盖制造商公章）；</w:t>
      </w:r>
    </w:p>
    <w:p w14:paraId="1373D83E">
      <w:pPr>
        <w:spacing w:line="560" w:lineRule="exact"/>
        <w:ind w:firstLine="480" w:firstLineChars="200"/>
        <w:jc w:val="left"/>
        <w:rPr>
          <w:rFonts w:hint="eastAsia" w:ascii="宋体" w:hAnsi="宋体" w:cs="宋体"/>
          <w:sz w:val="24"/>
        </w:rPr>
      </w:pPr>
      <w:r>
        <w:rPr>
          <w:rFonts w:hint="eastAsia" w:ascii="宋体" w:hAnsi="宋体" w:cs="宋体"/>
          <w:sz w:val="24"/>
        </w:rPr>
        <w:t>18、</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可靠性：常温下，路障连续升降 20000 次应无停机及故障产生，且升降灵活、到位准确（提供国家权威机构出具的、检验依据为GA/T1343-2016的检验报告复印件并加盖制造商公章）；</w:t>
      </w:r>
    </w:p>
    <w:p w14:paraId="5B6F9914">
      <w:pPr>
        <w:spacing w:line="560" w:lineRule="exact"/>
        <w:ind w:firstLine="480" w:firstLineChars="200"/>
        <w:jc w:val="left"/>
        <w:rPr>
          <w:rFonts w:hint="eastAsia" w:ascii="宋体" w:hAnsi="宋体" w:cs="宋体"/>
          <w:sz w:val="24"/>
        </w:rPr>
      </w:pPr>
      <w:r>
        <w:rPr>
          <w:rFonts w:hint="eastAsia" w:ascii="宋体" w:hAnsi="宋体" w:cs="宋体"/>
          <w:sz w:val="24"/>
        </w:rPr>
        <w:t>19、浸水性能：路障阻挡柱体在浸水状态下(置入水池中浸泡48h)应无漏电现象，且能正常升降（提供国家权威机构出具的、检验依据为GA/T1343-2016 的检验报告复印件并加盖制造商公章）；</w:t>
      </w:r>
    </w:p>
    <w:p w14:paraId="780E6B63">
      <w:pPr>
        <w:spacing w:line="560" w:lineRule="exact"/>
        <w:ind w:firstLine="480" w:firstLineChars="200"/>
        <w:jc w:val="left"/>
        <w:rPr>
          <w:rFonts w:hint="eastAsia" w:ascii="宋体" w:hAnsi="宋体" w:cs="宋体"/>
          <w:sz w:val="24"/>
        </w:rPr>
      </w:pPr>
      <w:r>
        <w:rPr>
          <w:rFonts w:hint="eastAsia" w:ascii="宋体" w:hAnsi="宋体" w:cs="宋体"/>
          <w:sz w:val="24"/>
        </w:rPr>
        <w:t>20、</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环境适应性：路障阻挡主体、动力系统在环境温度-55℃±2℃～85℃±2℃条件下，保持24小时，取出后测试试验。试验后，路障阻挡主体应能正常升降、无卡顿、到位可靠，升起速度大于或等于 150mm/s。(提供国家权威机构出具的、检验依据为GA/T1343-2016 的检验报告复印件并加盖制造商公章)；</w:t>
      </w:r>
    </w:p>
    <w:p w14:paraId="58869945">
      <w:pPr>
        <w:spacing w:line="560" w:lineRule="exact"/>
        <w:ind w:firstLine="480" w:firstLineChars="200"/>
        <w:jc w:val="left"/>
        <w:rPr>
          <w:rFonts w:hint="eastAsia" w:ascii="宋体" w:hAnsi="宋体" w:cs="宋体"/>
          <w:sz w:val="24"/>
        </w:rPr>
      </w:pPr>
      <w:r>
        <w:rPr>
          <w:rFonts w:hint="eastAsia" w:ascii="宋体" w:hAnsi="宋体" w:cs="宋体"/>
          <w:sz w:val="24"/>
        </w:rPr>
        <w:t>21、</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升降柱防护等级：IP68(提供相关权威机构检验报告复印件)</w:t>
      </w:r>
    </w:p>
    <w:p w14:paraId="0CA01723">
      <w:pPr>
        <w:spacing w:line="560" w:lineRule="exact"/>
        <w:ind w:firstLine="480" w:firstLineChars="200"/>
        <w:jc w:val="left"/>
        <w:rPr>
          <w:rFonts w:hint="eastAsia" w:ascii="宋体" w:hAnsi="宋体" w:cs="宋体"/>
          <w:sz w:val="24"/>
        </w:rPr>
      </w:pPr>
      <w:r>
        <w:rPr>
          <w:rFonts w:hint="eastAsia" w:ascii="宋体" w:hAnsi="宋体" w:cs="宋体"/>
          <w:sz w:val="24"/>
        </w:rPr>
        <w:t>（二）控制系统：</w:t>
      </w:r>
    </w:p>
    <w:p w14:paraId="5D0A788C">
      <w:pPr>
        <w:spacing w:line="560" w:lineRule="exact"/>
        <w:ind w:firstLine="480" w:firstLineChars="200"/>
        <w:jc w:val="left"/>
        <w:rPr>
          <w:rFonts w:hint="eastAsia" w:ascii="宋体" w:hAnsi="宋体" w:cs="宋体"/>
          <w:sz w:val="24"/>
        </w:rPr>
      </w:pPr>
      <w:r>
        <w:rPr>
          <w:rFonts w:hint="eastAsia" w:ascii="宋体" w:hAnsi="宋体" w:cs="宋体"/>
          <w:sz w:val="24"/>
        </w:rPr>
        <w:t>1、采用先进控制系统，性能稳定，故障率低，抗干扰能力强，尺寸依控制系统而定，具有手动、遥控功能，可提供多种接口；</w:t>
      </w:r>
    </w:p>
    <w:p w14:paraId="70FB58DA">
      <w:pPr>
        <w:spacing w:line="560" w:lineRule="exact"/>
        <w:ind w:firstLine="480" w:firstLineChars="200"/>
        <w:jc w:val="left"/>
        <w:rPr>
          <w:rFonts w:hint="eastAsia" w:ascii="宋体" w:hAnsi="宋体" w:cs="宋体"/>
          <w:sz w:val="24"/>
        </w:rPr>
      </w:pPr>
      <w:r>
        <w:rPr>
          <w:rFonts w:hint="eastAsia" w:ascii="宋体" w:hAnsi="宋体" w:cs="宋体"/>
          <w:sz w:val="24"/>
        </w:rPr>
        <w:t>2、绝缘电阻：电源插头或电源引入端与外壳裸露金属部件之间的绝缘电阻，经相对湿热度为91%-95%，温度为40°、48h的受潮预处理后，设备的电阻应不小于2M欧姆；</w:t>
      </w:r>
    </w:p>
    <w:p w14:paraId="06A83C93">
      <w:pPr>
        <w:spacing w:line="560" w:lineRule="exact"/>
        <w:ind w:firstLine="480" w:firstLineChars="200"/>
        <w:jc w:val="left"/>
        <w:rPr>
          <w:rFonts w:hint="eastAsia" w:ascii="宋体" w:hAnsi="宋体" w:cs="宋体"/>
          <w:sz w:val="24"/>
        </w:rPr>
      </w:pPr>
      <w:r>
        <w:rPr>
          <w:rFonts w:hint="eastAsia" w:ascii="宋体" w:hAnsi="宋体" w:cs="宋体"/>
          <w:sz w:val="24"/>
        </w:rPr>
        <w:t>3、泄漏电流：泄漏电流应符合GB16796-2009的规定，泄漏电流符合Ⅰ类设备（或Ⅱ类设备）；</w:t>
      </w:r>
    </w:p>
    <w:p w14:paraId="3C6BA0AE">
      <w:pPr>
        <w:spacing w:line="560" w:lineRule="exact"/>
        <w:ind w:firstLine="480" w:firstLineChars="200"/>
        <w:jc w:val="left"/>
        <w:rPr>
          <w:rFonts w:hint="eastAsia" w:ascii="宋体" w:hAnsi="宋体" w:cs="宋体"/>
          <w:sz w:val="24"/>
        </w:rPr>
      </w:pPr>
      <w:r>
        <w:rPr>
          <w:rFonts w:hint="eastAsia" w:ascii="宋体" w:hAnsi="宋体" w:cs="宋体"/>
          <w:sz w:val="24"/>
        </w:rPr>
        <w:t>4、抗电强度：应符合GB16796-2009的规定，电源插头或电源引入端或外壳裸露金属部件之间，应能承受45Hz-65Hz交流电压的抗电强度试验，历时 1min 应无击穿和飞弧现象；</w:t>
      </w:r>
    </w:p>
    <w:p w14:paraId="3FE83B5A">
      <w:pPr>
        <w:spacing w:line="560" w:lineRule="exact"/>
        <w:ind w:firstLine="480" w:firstLineChars="200"/>
        <w:jc w:val="left"/>
        <w:rPr>
          <w:rFonts w:hint="eastAsia" w:ascii="宋体" w:hAnsi="宋体" w:cs="宋体"/>
          <w:sz w:val="24"/>
        </w:rPr>
      </w:pPr>
      <w:r>
        <w:rPr>
          <w:rFonts w:hint="eastAsia" w:ascii="宋体" w:hAnsi="宋体" w:cs="宋体"/>
          <w:sz w:val="24"/>
        </w:rPr>
        <w:t>5、电磁兼容性：路障控制系统的静电放电抗扰度、电快速瞬变脉冲群抗扰 度 、 浪涌（冲击）抗扰度应符合GB/T30148-2013 中 9.3.4、12.3.4 和 13.3.4 的规定；</w:t>
      </w:r>
    </w:p>
    <w:p w14:paraId="2EC74B31">
      <w:pPr>
        <w:spacing w:line="560" w:lineRule="exact"/>
        <w:ind w:firstLine="480" w:firstLineChars="200"/>
        <w:jc w:val="left"/>
        <w:rPr>
          <w:rFonts w:hint="eastAsia" w:ascii="宋体" w:hAnsi="宋体" w:cs="宋体"/>
          <w:sz w:val="24"/>
        </w:rPr>
      </w:pPr>
      <w:r>
        <w:rPr>
          <w:rFonts w:hint="eastAsia" w:ascii="宋体" w:hAnsi="宋体" w:cs="宋体"/>
          <w:sz w:val="24"/>
        </w:rPr>
        <w:t>6、</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升降路障控制系统：外壳防护等级应符合GB/T4208-2017中IP65要求(提供国家权威机构出具的第三方检验报告复印件)；</w:t>
      </w:r>
    </w:p>
    <w:p w14:paraId="3B5E2679">
      <w:pPr>
        <w:spacing w:line="560" w:lineRule="exact"/>
        <w:ind w:firstLine="480" w:firstLineChars="200"/>
        <w:jc w:val="left"/>
        <w:rPr>
          <w:rFonts w:hint="eastAsia" w:ascii="宋体" w:hAnsi="宋体" w:cs="宋体"/>
          <w:sz w:val="24"/>
        </w:rPr>
      </w:pPr>
      <w:r>
        <w:rPr>
          <w:rFonts w:hint="eastAsia" w:ascii="宋体" w:hAnsi="宋体" w:cs="宋体"/>
          <w:sz w:val="24"/>
        </w:rPr>
        <w:t>7、</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遥控装置：应可通过无线遥控方式，对升降柱进行升、降、 停控制。有效距离大于150米(提供国家权威机构出具的第三方检验报告复印件）；</w:t>
      </w:r>
    </w:p>
    <w:p w14:paraId="6664DD7E">
      <w:pPr>
        <w:spacing w:line="560" w:lineRule="exact"/>
        <w:ind w:firstLine="480" w:firstLineChars="200"/>
        <w:jc w:val="left"/>
        <w:rPr>
          <w:rFonts w:hint="eastAsia" w:ascii="宋体" w:hAnsi="宋体" w:cs="宋体"/>
          <w:sz w:val="24"/>
        </w:rPr>
      </w:pPr>
      <w:r>
        <w:rPr>
          <w:rFonts w:hint="eastAsia" w:ascii="宋体" w:hAnsi="宋体" w:cs="宋体"/>
          <w:sz w:val="24"/>
        </w:rPr>
        <w:t>8、</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线控装置：应可通过线控开关，对升降柱进行升、降、停控制(提供国家权威机构出具的第三方检验报告复印件）；</w:t>
      </w:r>
    </w:p>
    <w:p w14:paraId="308082A3">
      <w:pPr>
        <w:spacing w:line="560" w:lineRule="exact"/>
        <w:ind w:firstLine="480" w:firstLineChars="200"/>
        <w:jc w:val="left"/>
        <w:rPr>
          <w:rFonts w:hint="eastAsia" w:ascii="宋体" w:hAnsi="宋体" w:cs="宋体"/>
          <w:sz w:val="24"/>
        </w:rPr>
      </w:pPr>
      <w:r>
        <w:rPr>
          <w:rFonts w:hint="eastAsia" w:ascii="宋体" w:hAnsi="宋体" w:cs="宋体"/>
          <w:sz w:val="24"/>
        </w:rPr>
        <w:t>9、</w:t>
      </w:r>
      <w:r>
        <w:rPr>
          <w:rFonts w:ascii="Microsoft YaHei UI" w:hAnsi="Microsoft YaHei UI" w:eastAsia="Microsoft YaHei UI" w:cs="Microsoft YaHei UI"/>
          <w:spacing w:val="8"/>
          <w:sz w:val="25"/>
          <w:szCs w:val="25"/>
          <w:shd w:val="clear" w:color="auto" w:fill="FFFFFF"/>
        </w:rPr>
        <w:t>▲</w:t>
      </w:r>
      <w:r>
        <w:rPr>
          <w:rFonts w:hint="eastAsia" w:ascii="宋体" w:hAnsi="宋体" w:cs="宋体"/>
          <w:sz w:val="24"/>
        </w:rPr>
        <w:t>升降柱控制数量：设备联动控制的升降柱数量应不小于20根(提供国家权威机构出具的第三方检验报告复印件）；</w:t>
      </w:r>
    </w:p>
    <w:p w14:paraId="1C8BF773">
      <w:pPr>
        <w:spacing w:line="560" w:lineRule="exact"/>
        <w:ind w:firstLine="480" w:firstLineChars="200"/>
        <w:jc w:val="left"/>
        <w:rPr>
          <w:rFonts w:hint="eastAsia" w:ascii="宋体" w:hAnsi="宋体" w:cs="宋体"/>
          <w:sz w:val="24"/>
        </w:rPr>
      </w:pPr>
      <w:r>
        <w:rPr>
          <w:rFonts w:hint="eastAsia" w:ascii="宋体" w:hAnsi="宋体" w:cs="宋体"/>
          <w:sz w:val="24"/>
        </w:rPr>
        <w:t>10、工作电压：AC220/380V，50Hz。</w:t>
      </w:r>
    </w:p>
    <w:p w14:paraId="72162C07">
      <w:pPr>
        <w:spacing w:line="560" w:lineRule="exact"/>
        <w:ind w:firstLine="480" w:firstLineChars="200"/>
        <w:jc w:val="left"/>
        <w:rPr>
          <w:rFonts w:hint="eastAsia" w:ascii="等线" w:hAnsi="等线"/>
          <w:sz w:val="24"/>
        </w:rPr>
      </w:pPr>
      <w:r>
        <w:rPr>
          <w:rFonts w:hint="eastAsia" w:ascii="等线" w:hAnsi="等线"/>
          <w:sz w:val="24"/>
        </w:rPr>
        <w:t>（三）遥控器：每套控制系统配备2把遥控器，遥控范围30米及以上。</w:t>
      </w:r>
    </w:p>
    <w:p w14:paraId="3F7EE884">
      <w:pPr>
        <w:spacing w:line="560" w:lineRule="exact"/>
        <w:ind w:firstLine="480" w:firstLineChars="200"/>
        <w:jc w:val="left"/>
        <w:rPr>
          <w:rFonts w:hint="eastAsia" w:ascii="宋体" w:hAnsi="宋体" w:cs="宋体"/>
          <w:sz w:val="24"/>
        </w:rPr>
      </w:pPr>
      <w:r>
        <w:rPr>
          <w:rFonts w:hint="eastAsia" w:ascii="宋体" w:hAnsi="宋体" w:cs="宋体"/>
          <w:sz w:val="24"/>
        </w:rPr>
        <w:t>（四）施工备案</w:t>
      </w:r>
    </w:p>
    <w:p w14:paraId="79A65BB0">
      <w:pPr>
        <w:spacing w:line="560" w:lineRule="exact"/>
        <w:ind w:firstLine="480" w:firstLineChars="200"/>
        <w:jc w:val="left"/>
        <w:rPr>
          <w:rFonts w:hint="eastAsia" w:ascii="等线" w:hAnsi="等线"/>
          <w:sz w:val="24"/>
        </w:rPr>
      </w:pPr>
      <w:r>
        <w:rPr>
          <w:rFonts w:hint="eastAsia" w:ascii="等线" w:hAnsi="等线"/>
          <w:sz w:val="24"/>
        </w:rPr>
        <w:t>施工单位需具备相关施工资质，施工备案及相关施工手续需施工单位自行与有管理权限的政府部门提供申请，同意后方可施工。施工区域不允许堆放施工材料及弃土，做到随施工随清理，安全文明施工。因野蛮施工造成的处罚、停工等造成不能按照合同约定交付的，我单位按合同约定追责。</w:t>
      </w:r>
    </w:p>
    <w:p w14:paraId="26FAE70B">
      <w:pPr>
        <w:spacing w:line="560" w:lineRule="exact"/>
        <w:ind w:firstLine="480" w:firstLineChars="200"/>
        <w:jc w:val="left"/>
        <w:rPr>
          <w:rFonts w:hint="eastAsia" w:ascii="等线" w:hAnsi="等线"/>
          <w:sz w:val="24"/>
        </w:rPr>
      </w:pPr>
      <w:r>
        <w:rPr>
          <w:rFonts w:hint="eastAsia" w:ascii="等线" w:hAnsi="等线"/>
          <w:sz w:val="24"/>
        </w:rPr>
        <w:t>（五）施工工艺</w:t>
      </w:r>
    </w:p>
    <w:p w14:paraId="5FEEC6D1">
      <w:pPr>
        <w:rPr>
          <w:rFonts w:ascii="等线" w:hAnsi="等线"/>
          <w:sz w:val="24"/>
        </w:rPr>
      </w:pPr>
      <w:r>
        <w:rPr>
          <w:rFonts w:hint="eastAsia" w:ascii="等线" w:hAnsi="等线"/>
          <w:sz w:val="24"/>
        </w:rPr>
        <w:t>路面切割确保开挖基槽切口整齐，沟渠底部需做300mm以上渗水层，为保证施工规范及工程质量，回填层需回填C30商品混凝土，不允许回填开挖弃土，路面层需与原有路面材质相同或统一，并设置黄色条状警示地漆。</w:t>
      </w:r>
    </w:p>
    <w:p w14:paraId="7191D7C5">
      <w:pPr>
        <w:pStyle w:val="2"/>
        <w:rPr>
          <w:rFonts w:ascii="宋体" w:hAnsi="宋体" w:cs="宋体"/>
          <w:b/>
          <w:sz w:val="24"/>
        </w:rPr>
      </w:pPr>
      <w:r>
        <w:rPr>
          <w:rFonts w:hint="eastAsia" w:ascii="宋体" w:hAnsi="宋体" w:cs="宋体"/>
          <w:b/>
          <w:sz w:val="24"/>
        </w:rPr>
        <w:t>三、比选评分标准</w:t>
      </w:r>
    </w:p>
    <w:tbl>
      <w:tblPr>
        <w:tblStyle w:val="5"/>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219"/>
        <w:gridCol w:w="4563"/>
        <w:gridCol w:w="722"/>
        <w:gridCol w:w="2258"/>
      </w:tblGrid>
      <w:tr w14:paraId="2AD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96" w:type="dxa"/>
            <w:vAlign w:val="center"/>
          </w:tcPr>
          <w:p w14:paraId="499ECCAA">
            <w:pPr>
              <w:spacing w:line="360" w:lineRule="exact"/>
              <w:jc w:val="center"/>
              <w:rPr>
                <w:rFonts w:hint="eastAsia" w:ascii="宋体" w:hAnsi="宋体" w:cs="宋体"/>
                <w:b/>
                <w:sz w:val="18"/>
                <w:szCs w:val="18"/>
              </w:rPr>
            </w:pPr>
            <w:r>
              <w:rPr>
                <w:rFonts w:hint="eastAsia" w:ascii="宋体" w:hAnsi="宋体" w:cs="宋体"/>
                <w:b/>
                <w:sz w:val="18"/>
                <w:szCs w:val="18"/>
              </w:rPr>
              <w:t>项目</w:t>
            </w:r>
          </w:p>
        </w:tc>
        <w:tc>
          <w:tcPr>
            <w:tcW w:w="1219" w:type="dxa"/>
            <w:vAlign w:val="center"/>
          </w:tcPr>
          <w:p w14:paraId="25B38F15">
            <w:pPr>
              <w:spacing w:line="360" w:lineRule="exact"/>
              <w:jc w:val="center"/>
              <w:rPr>
                <w:rFonts w:hint="eastAsia" w:ascii="宋体" w:hAnsi="宋体" w:cs="宋体"/>
                <w:b/>
                <w:sz w:val="18"/>
                <w:szCs w:val="18"/>
              </w:rPr>
            </w:pPr>
            <w:r>
              <w:rPr>
                <w:rFonts w:hint="eastAsia" w:ascii="宋体" w:hAnsi="宋体" w:cs="宋体"/>
                <w:b/>
                <w:sz w:val="18"/>
                <w:szCs w:val="18"/>
              </w:rPr>
              <w:t>评审因素</w:t>
            </w:r>
          </w:p>
        </w:tc>
        <w:tc>
          <w:tcPr>
            <w:tcW w:w="4563" w:type="dxa"/>
            <w:vAlign w:val="center"/>
          </w:tcPr>
          <w:p w14:paraId="5C1D710C">
            <w:pPr>
              <w:spacing w:line="360" w:lineRule="exact"/>
              <w:jc w:val="center"/>
              <w:rPr>
                <w:rFonts w:hint="eastAsia" w:ascii="宋体" w:hAnsi="宋体" w:cs="宋体"/>
                <w:b/>
                <w:sz w:val="18"/>
                <w:szCs w:val="18"/>
              </w:rPr>
            </w:pPr>
            <w:r>
              <w:rPr>
                <w:rFonts w:hint="eastAsia" w:ascii="宋体" w:hAnsi="宋体" w:cs="宋体"/>
                <w:b/>
                <w:sz w:val="18"/>
                <w:szCs w:val="18"/>
              </w:rPr>
              <w:t>评审标准</w:t>
            </w:r>
          </w:p>
        </w:tc>
        <w:tc>
          <w:tcPr>
            <w:tcW w:w="722" w:type="dxa"/>
            <w:vAlign w:val="center"/>
          </w:tcPr>
          <w:p w14:paraId="38E5FEF4">
            <w:pPr>
              <w:spacing w:line="360" w:lineRule="exact"/>
              <w:jc w:val="center"/>
              <w:rPr>
                <w:rFonts w:hint="eastAsia" w:ascii="宋体" w:hAnsi="宋体" w:cs="宋体"/>
                <w:b/>
                <w:sz w:val="18"/>
                <w:szCs w:val="18"/>
              </w:rPr>
            </w:pPr>
            <w:r>
              <w:rPr>
                <w:rFonts w:hint="eastAsia" w:ascii="宋体" w:hAnsi="宋体" w:cs="宋体"/>
                <w:b/>
                <w:sz w:val="18"/>
                <w:szCs w:val="18"/>
              </w:rPr>
              <w:t>标准分值</w:t>
            </w:r>
          </w:p>
        </w:tc>
        <w:tc>
          <w:tcPr>
            <w:tcW w:w="2258" w:type="dxa"/>
            <w:vAlign w:val="center"/>
          </w:tcPr>
          <w:p w14:paraId="5FC91861">
            <w:pPr>
              <w:spacing w:line="360" w:lineRule="exact"/>
              <w:jc w:val="center"/>
              <w:rPr>
                <w:rFonts w:hint="eastAsia" w:ascii="宋体" w:hAnsi="宋体" w:cs="宋体"/>
                <w:b/>
                <w:sz w:val="18"/>
                <w:szCs w:val="18"/>
              </w:rPr>
            </w:pPr>
            <w:r>
              <w:rPr>
                <w:rFonts w:hint="eastAsia" w:ascii="宋体" w:hAnsi="宋体" w:cs="宋体"/>
                <w:b/>
                <w:sz w:val="18"/>
                <w:szCs w:val="18"/>
              </w:rPr>
              <w:t>说明</w:t>
            </w:r>
          </w:p>
        </w:tc>
      </w:tr>
      <w:tr w14:paraId="4B0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096" w:type="dxa"/>
            <w:vAlign w:val="center"/>
          </w:tcPr>
          <w:p w14:paraId="66ABA3B1">
            <w:pPr>
              <w:spacing w:line="320" w:lineRule="exact"/>
              <w:jc w:val="center"/>
              <w:rPr>
                <w:rFonts w:hint="eastAsia" w:ascii="宋体" w:hAnsi="宋体" w:cs="宋体"/>
                <w:sz w:val="18"/>
                <w:szCs w:val="18"/>
              </w:rPr>
            </w:pPr>
            <w:r>
              <w:rPr>
                <w:rFonts w:hint="eastAsia" w:ascii="宋体" w:hAnsi="宋体" w:cs="宋体"/>
                <w:sz w:val="18"/>
                <w:szCs w:val="18"/>
              </w:rPr>
              <w:t>投标报价（30分）</w:t>
            </w:r>
          </w:p>
        </w:tc>
        <w:tc>
          <w:tcPr>
            <w:tcW w:w="1219" w:type="dxa"/>
            <w:vAlign w:val="center"/>
          </w:tcPr>
          <w:p w14:paraId="2C3D95A3">
            <w:pPr>
              <w:spacing w:line="320" w:lineRule="exact"/>
              <w:jc w:val="center"/>
              <w:rPr>
                <w:rFonts w:hint="eastAsia" w:ascii="宋体" w:hAnsi="宋体" w:cs="宋体"/>
                <w:sz w:val="18"/>
                <w:szCs w:val="18"/>
              </w:rPr>
            </w:pPr>
            <w:r>
              <w:rPr>
                <w:rFonts w:hint="eastAsia" w:ascii="宋体" w:hAnsi="宋体" w:cs="宋体"/>
                <w:sz w:val="18"/>
                <w:szCs w:val="18"/>
              </w:rPr>
              <w:t>评标基准价计算方法</w:t>
            </w:r>
          </w:p>
        </w:tc>
        <w:tc>
          <w:tcPr>
            <w:tcW w:w="4563" w:type="dxa"/>
            <w:vAlign w:val="center"/>
          </w:tcPr>
          <w:p w14:paraId="7D107339">
            <w:pPr>
              <w:pStyle w:val="10"/>
              <w:rPr>
                <w:rFonts w:ascii="宋体" w:hAnsi="宋体" w:eastAsia="宋体" w:cs="宋体"/>
                <w:sz w:val="18"/>
                <w:szCs w:val="18"/>
              </w:rPr>
            </w:pPr>
            <w:r>
              <w:rPr>
                <w:rFonts w:ascii="宋体" w:hAnsi="宋体" w:eastAsia="宋体" w:cs="宋体"/>
                <w:sz w:val="18"/>
                <w:szCs w:val="18"/>
              </w:rPr>
              <w:t>参与报价最低价格为评审基准价，报价最低者得30分；其他参与报价得分计算公式为：(评审基准价÷报价)×标准分30</w:t>
            </w:r>
          </w:p>
        </w:tc>
        <w:tc>
          <w:tcPr>
            <w:tcW w:w="722" w:type="dxa"/>
            <w:vAlign w:val="center"/>
          </w:tcPr>
          <w:p w14:paraId="18820AAA">
            <w:pPr>
              <w:spacing w:line="320" w:lineRule="exact"/>
              <w:jc w:val="center"/>
              <w:rPr>
                <w:rFonts w:hint="eastAsia" w:ascii="宋体" w:hAnsi="宋体" w:cs="宋体"/>
                <w:sz w:val="18"/>
                <w:szCs w:val="18"/>
              </w:rPr>
            </w:pPr>
            <w:r>
              <w:rPr>
                <w:rFonts w:hint="eastAsia" w:ascii="宋体" w:hAnsi="宋体" w:cs="宋体"/>
                <w:sz w:val="18"/>
                <w:szCs w:val="18"/>
              </w:rPr>
              <w:t>30分</w:t>
            </w:r>
          </w:p>
        </w:tc>
        <w:tc>
          <w:tcPr>
            <w:tcW w:w="2258" w:type="dxa"/>
            <w:vAlign w:val="center"/>
          </w:tcPr>
          <w:p w14:paraId="040E43C9">
            <w:pPr>
              <w:rPr>
                <w:rFonts w:hint="eastAsia" w:ascii="宋体" w:hAnsi="宋体" w:cs="宋体"/>
                <w:bCs/>
                <w:sz w:val="18"/>
                <w:szCs w:val="18"/>
              </w:rPr>
            </w:pPr>
            <w:r>
              <w:rPr>
                <w:rFonts w:hint="eastAsia" w:ascii="宋体" w:hAnsi="宋体" w:cs="宋体"/>
                <w:b/>
                <w:sz w:val="18"/>
                <w:szCs w:val="18"/>
              </w:rPr>
              <w:t>计算公式的计算结果值四舍五入保留2位小数。</w:t>
            </w:r>
          </w:p>
        </w:tc>
      </w:tr>
      <w:tr w14:paraId="4234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Merge w:val="restart"/>
            <w:vAlign w:val="center"/>
          </w:tcPr>
          <w:p w14:paraId="2FC15100">
            <w:pPr>
              <w:spacing w:line="320" w:lineRule="exact"/>
              <w:jc w:val="center"/>
              <w:rPr>
                <w:rFonts w:hint="eastAsia" w:ascii="宋体" w:hAnsi="宋体" w:cs="宋体"/>
                <w:sz w:val="18"/>
                <w:szCs w:val="18"/>
              </w:rPr>
            </w:pPr>
            <w:r>
              <w:rPr>
                <w:rFonts w:hint="eastAsia" w:ascii="宋体" w:hAnsi="宋体" w:cs="宋体"/>
                <w:sz w:val="18"/>
                <w:szCs w:val="18"/>
              </w:rPr>
              <w:t>商务</w:t>
            </w:r>
          </w:p>
          <w:p w14:paraId="428FE6AB">
            <w:pPr>
              <w:spacing w:line="320" w:lineRule="exact"/>
              <w:jc w:val="center"/>
              <w:rPr>
                <w:rFonts w:hint="eastAsia" w:ascii="宋体" w:hAnsi="宋体" w:cs="宋体"/>
                <w:sz w:val="18"/>
                <w:szCs w:val="18"/>
              </w:rPr>
            </w:pPr>
            <w:r>
              <w:rPr>
                <w:rFonts w:hint="eastAsia" w:ascii="宋体" w:hAnsi="宋体" w:cs="宋体"/>
                <w:sz w:val="18"/>
                <w:szCs w:val="18"/>
              </w:rPr>
              <w:t>部分</w:t>
            </w:r>
          </w:p>
          <w:p w14:paraId="3D66DC97">
            <w:pPr>
              <w:spacing w:line="320" w:lineRule="exact"/>
              <w:jc w:val="center"/>
              <w:rPr>
                <w:rFonts w:hint="eastAsia" w:ascii="宋体" w:hAnsi="宋体" w:cs="宋体"/>
                <w:sz w:val="18"/>
                <w:szCs w:val="18"/>
              </w:rPr>
            </w:pPr>
            <w:r>
              <w:rPr>
                <w:rFonts w:hint="eastAsia" w:ascii="宋体" w:hAnsi="宋体" w:cs="宋体"/>
                <w:sz w:val="18"/>
                <w:szCs w:val="18"/>
              </w:rPr>
              <w:t>（30分）</w:t>
            </w:r>
          </w:p>
        </w:tc>
        <w:tc>
          <w:tcPr>
            <w:tcW w:w="1219" w:type="dxa"/>
            <w:vAlign w:val="center"/>
          </w:tcPr>
          <w:p w14:paraId="0E5174F2">
            <w:pPr>
              <w:spacing w:line="320" w:lineRule="exact"/>
              <w:jc w:val="center"/>
              <w:rPr>
                <w:rFonts w:hint="eastAsia" w:ascii="宋体" w:hAnsi="宋体" w:cs="宋体"/>
                <w:sz w:val="18"/>
                <w:szCs w:val="18"/>
              </w:rPr>
            </w:pPr>
            <w:r>
              <w:rPr>
                <w:rFonts w:hint="eastAsia" w:ascii="宋体" w:hAnsi="宋体" w:cs="宋体"/>
                <w:sz w:val="18"/>
                <w:szCs w:val="18"/>
              </w:rPr>
              <w:t>业绩</w:t>
            </w:r>
          </w:p>
          <w:p w14:paraId="155173B6">
            <w:pPr>
              <w:spacing w:line="320" w:lineRule="exact"/>
              <w:jc w:val="center"/>
              <w:rPr>
                <w:rFonts w:hint="eastAsia" w:ascii="宋体" w:hAnsi="宋体" w:cs="宋体"/>
                <w:sz w:val="18"/>
                <w:szCs w:val="18"/>
              </w:rPr>
            </w:pPr>
            <w:r>
              <w:rPr>
                <w:rFonts w:hint="eastAsia" w:ascii="宋体" w:hAnsi="宋体" w:cs="宋体"/>
                <w:sz w:val="18"/>
                <w:szCs w:val="18"/>
              </w:rPr>
              <w:t>（6分）</w:t>
            </w:r>
          </w:p>
        </w:tc>
        <w:tc>
          <w:tcPr>
            <w:tcW w:w="4563" w:type="dxa"/>
            <w:vAlign w:val="center"/>
          </w:tcPr>
          <w:p w14:paraId="13BD43C3">
            <w:pPr>
              <w:pStyle w:val="10"/>
              <w:rPr>
                <w:rFonts w:ascii="宋体" w:hAnsi="宋体" w:eastAsia="宋体" w:cs="宋体"/>
                <w:sz w:val="18"/>
                <w:szCs w:val="18"/>
              </w:rPr>
            </w:pPr>
            <w:r>
              <w:rPr>
                <w:rFonts w:ascii="宋体" w:hAnsi="宋体" w:eastAsia="宋体" w:cs="宋体"/>
                <w:sz w:val="18"/>
                <w:szCs w:val="18"/>
              </w:rPr>
              <w:t>投标人签订的包含升降式阻车路障设备的有效的业绩，每提供1份得2分，最多得标准分，没有不得分。</w:t>
            </w:r>
          </w:p>
        </w:tc>
        <w:tc>
          <w:tcPr>
            <w:tcW w:w="722" w:type="dxa"/>
            <w:vAlign w:val="center"/>
          </w:tcPr>
          <w:p w14:paraId="7F866DD7">
            <w:pPr>
              <w:jc w:val="center"/>
              <w:rPr>
                <w:rFonts w:hint="eastAsia" w:ascii="宋体" w:hAnsi="宋体" w:cs="宋体"/>
                <w:sz w:val="18"/>
                <w:szCs w:val="18"/>
              </w:rPr>
            </w:pPr>
            <w:r>
              <w:rPr>
                <w:rFonts w:hint="eastAsia" w:ascii="宋体" w:hAnsi="宋体" w:cs="宋体"/>
                <w:sz w:val="18"/>
                <w:szCs w:val="18"/>
              </w:rPr>
              <w:t>6分</w:t>
            </w:r>
          </w:p>
        </w:tc>
        <w:tc>
          <w:tcPr>
            <w:tcW w:w="2258" w:type="dxa"/>
            <w:vAlign w:val="center"/>
          </w:tcPr>
          <w:p w14:paraId="32DDEC69">
            <w:pPr>
              <w:rPr>
                <w:rFonts w:hint="eastAsia" w:ascii="宋体" w:hAnsi="宋体" w:cs="宋体"/>
                <w:b/>
                <w:sz w:val="18"/>
                <w:szCs w:val="18"/>
              </w:rPr>
            </w:pPr>
            <w:r>
              <w:rPr>
                <w:rFonts w:hint="eastAsia" w:ascii="宋体" w:hAnsi="宋体" w:cs="宋体"/>
                <w:b/>
                <w:sz w:val="18"/>
                <w:szCs w:val="18"/>
              </w:rPr>
              <w:t>业绩必须包含升降式阻车路障供货及安装。</w:t>
            </w:r>
          </w:p>
        </w:tc>
      </w:tr>
      <w:tr w14:paraId="63D4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96" w:type="dxa"/>
            <w:vMerge w:val="continue"/>
            <w:vAlign w:val="center"/>
          </w:tcPr>
          <w:p w14:paraId="13454DED">
            <w:pPr>
              <w:spacing w:line="320" w:lineRule="exact"/>
              <w:rPr>
                <w:rFonts w:hint="eastAsia" w:ascii="宋体" w:hAnsi="宋体" w:cs="宋体"/>
                <w:sz w:val="18"/>
                <w:szCs w:val="18"/>
              </w:rPr>
            </w:pPr>
          </w:p>
        </w:tc>
        <w:tc>
          <w:tcPr>
            <w:tcW w:w="1219" w:type="dxa"/>
            <w:vMerge w:val="restart"/>
            <w:vAlign w:val="center"/>
          </w:tcPr>
          <w:p w14:paraId="7A9C2089">
            <w:pPr>
              <w:spacing w:line="320" w:lineRule="exact"/>
              <w:jc w:val="center"/>
              <w:rPr>
                <w:rFonts w:hint="eastAsia" w:ascii="宋体" w:hAnsi="宋体" w:cs="宋体"/>
                <w:sz w:val="18"/>
                <w:szCs w:val="18"/>
              </w:rPr>
            </w:pPr>
            <w:r>
              <w:rPr>
                <w:rFonts w:hint="eastAsia" w:ascii="宋体" w:hAnsi="宋体" w:cs="宋体"/>
                <w:sz w:val="18"/>
                <w:szCs w:val="18"/>
              </w:rPr>
              <w:t>资质</w:t>
            </w:r>
          </w:p>
          <w:p w14:paraId="06229401">
            <w:pPr>
              <w:spacing w:line="320" w:lineRule="exact"/>
              <w:jc w:val="center"/>
              <w:rPr>
                <w:rFonts w:hint="eastAsia" w:ascii="宋体" w:hAnsi="宋体" w:cs="宋体"/>
                <w:sz w:val="18"/>
                <w:szCs w:val="18"/>
              </w:rPr>
            </w:pPr>
            <w:r>
              <w:rPr>
                <w:rFonts w:hint="eastAsia" w:ascii="宋体" w:hAnsi="宋体" w:cs="宋体"/>
                <w:sz w:val="18"/>
                <w:szCs w:val="18"/>
              </w:rPr>
              <w:t>信誉</w:t>
            </w:r>
          </w:p>
          <w:p w14:paraId="5B4D5B9B">
            <w:pPr>
              <w:spacing w:line="320" w:lineRule="exact"/>
              <w:jc w:val="center"/>
              <w:rPr>
                <w:rFonts w:hint="eastAsia" w:ascii="宋体" w:hAnsi="宋体" w:cs="宋体"/>
                <w:sz w:val="18"/>
                <w:szCs w:val="18"/>
              </w:rPr>
            </w:pPr>
            <w:r>
              <w:rPr>
                <w:rFonts w:hint="eastAsia" w:ascii="宋体" w:hAnsi="宋体" w:cs="宋体"/>
                <w:sz w:val="18"/>
                <w:szCs w:val="18"/>
              </w:rPr>
              <w:t>（9分）</w:t>
            </w:r>
          </w:p>
          <w:p w14:paraId="3ADB3968">
            <w:pPr>
              <w:spacing w:line="320" w:lineRule="exact"/>
              <w:jc w:val="center"/>
              <w:rPr>
                <w:rFonts w:hint="eastAsia" w:ascii="宋体" w:hAnsi="宋体" w:cs="宋体"/>
                <w:sz w:val="18"/>
                <w:szCs w:val="18"/>
              </w:rPr>
            </w:pPr>
          </w:p>
        </w:tc>
        <w:tc>
          <w:tcPr>
            <w:tcW w:w="4563" w:type="dxa"/>
            <w:vAlign w:val="center"/>
          </w:tcPr>
          <w:p w14:paraId="7B6B6681">
            <w:pPr>
              <w:rPr>
                <w:rFonts w:hint="eastAsia" w:ascii="宋体" w:hAnsi="宋体" w:cs="宋体"/>
                <w:color w:val="000000"/>
                <w:kern w:val="0"/>
                <w:sz w:val="18"/>
                <w:szCs w:val="18"/>
              </w:rPr>
            </w:pPr>
            <w:r>
              <w:rPr>
                <w:rFonts w:hint="eastAsia" w:ascii="宋体" w:hAnsi="宋体" w:cs="宋体"/>
                <w:color w:val="000000"/>
                <w:kern w:val="0"/>
                <w:sz w:val="18"/>
                <w:szCs w:val="18"/>
              </w:rPr>
              <w:t>投标人近三年企业纳税信用等级评价或证书复印件，A级得2分，B级得1分，其他不得分。</w:t>
            </w:r>
          </w:p>
        </w:tc>
        <w:tc>
          <w:tcPr>
            <w:tcW w:w="722" w:type="dxa"/>
            <w:vAlign w:val="center"/>
          </w:tcPr>
          <w:p w14:paraId="6186D6AD">
            <w:pPr>
              <w:spacing w:line="320" w:lineRule="exact"/>
              <w:jc w:val="center"/>
              <w:rPr>
                <w:rFonts w:hint="eastAsia" w:ascii="宋体" w:hAnsi="宋体" w:cs="宋体"/>
                <w:sz w:val="18"/>
                <w:szCs w:val="18"/>
              </w:rPr>
            </w:pPr>
            <w:r>
              <w:rPr>
                <w:rFonts w:hint="eastAsia" w:ascii="宋体" w:hAnsi="宋体" w:cs="宋体"/>
                <w:sz w:val="18"/>
                <w:szCs w:val="18"/>
              </w:rPr>
              <w:t>6分</w:t>
            </w:r>
          </w:p>
        </w:tc>
        <w:tc>
          <w:tcPr>
            <w:tcW w:w="2258" w:type="dxa"/>
            <w:vAlign w:val="center"/>
          </w:tcPr>
          <w:p w14:paraId="06481DBA">
            <w:pPr>
              <w:rPr>
                <w:rFonts w:hint="eastAsia" w:ascii="宋体" w:hAnsi="宋体" w:cs="宋体"/>
                <w:b/>
                <w:sz w:val="18"/>
                <w:szCs w:val="18"/>
                <w:highlight w:val="yellow"/>
              </w:rPr>
            </w:pPr>
            <w:r>
              <w:rPr>
                <w:rFonts w:hint="eastAsia" w:ascii="宋体" w:hAnsi="宋体" w:cs="宋体"/>
                <w:sz w:val="18"/>
                <w:szCs w:val="18"/>
              </w:rPr>
              <w:t>提供税务系统出具的证明材料或网上查询截图，</w:t>
            </w:r>
            <w:r>
              <w:rPr>
                <w:rFonts w:hint="eastAsia" w:ascii="宋体" w:hAnsi="宋体" w:cs="宋体"/>
                <w:b/>
                <w:sz w:val="18"/>
                <w:szCs w:val="18"/>
              </w:rPr>
              <w:t>复印件加盖公章。</w:t>
            </w:r>
          </w:p>
        </w:tc>
      </w:tr>
      <w:tr w14:paraId="60CC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096" w:type="dxa"/>
            <w:vMerge w:val="continue"/>
            <w:vAlign w:val="center"/>
          </w:tcPr>
          <w:p w14:paraId="6E26A889">
            <w:pPr>
              <w:spacing w:line="320" w:lineRule="exact"/>
              <w:rPr>
                <w:rFonts w:hint="eastAsia" w:ascii="宋体" w:hAnsi="宋体" w:cs="宋体"/>
                <w:sz w:val="18"/>
                <w:szCs w:val="18"/>
              </w:rPr>
            </w:pPr>
          </w:p>
        </w:tc>
        <w:tc>
          <w:tcPr>
            <w:tcW w:w="1219" w:type="dxa"/>
            <w:vMerge w:val="continue"/>
            <w:vAlign w:val="center"/>
          </w:tcPr>
          <w:p w14:paraId="2BFC78E6">
            <w:pPr>
              <w:spacing w:line="320" w:lineRule="exact"/>
              <w:rPr>
                <w:rFonts w:hint="eastAsia" w:ascii="宋体" w:hAnsi="宋体" w:cs="宋体"/>
                <w:sz w:val="18"/>
                <w:szCs w:val="18"/>
              </w:rPr>
            </w:pPr>
          </w:p>
        </w:tc>
        <w:tc>
          <w:tcPr>
            <w:tcW w:w="4563" w:type="dxa"/>
            <w:vAlign w:val="center"/>
          </w:tcPr>
          <w:p w14:paraId="53D60F17">
            <w:pPr>
              <w:rPr>
                <w:rFonts w:hint="eastAsia" w:ascii="宋体" w:hAnsi="宋体" w:cs="宋体"/>
                <w:color w:val="000000"/>
                <w:kern w:val="0"/>
                <w:sz w:val="18"/>
                <w:szCs w:val="18"/>
              </w:rPr>
            </w:pPr>
            <w:r>
              <w:rPr>
                <w:rFonts w:hint="eastAsia" w:ascii="宋体" w:hAnsi="宋体" w:cs="宋体"/>
                <w:color w:val="000000"/>
                <w:kern w:val="0"/>
                <w:sz w:val="18"/>
                <w:szCs w:val="18"/>
              </w:rPr>
              <w:t>投标人提供有效的质量管理体系认证证书、环境管理体系认证证书、职业健康安全管理体系认证证书，每提供1个得1分，共3分，没有不得分。</w:t>
            </w:r>
          </w:p>
        </w:tc>
        <w:tc>
          <w:tcPr>
            <w:tcW w:w="722" w:type="dxa"/>
            <w:vAlign w:val="center"/>
          </w:tcPr>
          <w:p w14:paraId="4C2EB5BB">
            <w:pPr>
              <w:jc w:val="center"/>
              <w:rPr>
                <w:rFonts w:hint="eastAsia" w:ascii="宋体" w:hAnsi="宋体" w:cs="宋体"/>
                <w:sz w:val="18"/>
                <w:szCs w:val="18"/>
              </w:rPr>
            </w:pPr>
            <w:r>
              <w:rPr>
                <w:rFonts w:hint="eastAsia" w:ascii="宋体" w:hAnsi="宋体" w:cs="宋体"/>
                <w:sz w:val="18"/>
                <w:szCs w:val="18"/>
              </w:rPr>
              <w:t>3分</w:t>
            </w:r>
          </w:p>
        </w:tc>
        <w:tc>
          <w:tcPr>
            <w:tcW w:w="2258" w:type="dxa"/>
            <w:vAlign w:val="center"/>
          </w:tcPr>
          <w:p w14:paraId="51BBD306">
            <w:pPr>
              <w:rPr>
                <w:rFonts w:hint="eastAsia" w:ascii="宋体" w:hAnsi="宋体" w:cs="宋体"/>
                <w:sz w:val="18"/>
                <w:szCs w:val="18"/>
              </w:rPr>
            </w:pPr>
            <w:r>
              <w:rPr>
                <w:rFonts w:hint="eastAsia" w:ascii="宋体" w:hAnsi="宋体" w:cs="宋体"/>
                <w:color w:val="000000"/>
                <w:sz w:val="18"/>
                <w:szCs w:val="18"/>
              </w:rPr>
              <w:t>投标人提供有效的证明文件</w:t>
            </w:r>
            <w:r>
              <w:rPr>
                <w:rFonts w:hint="eastAsia" w:ascii="宋体" w:hAnsi="宋体" w:cs="宋体"/>
                <w:b/>
                <w:bCs/>
                <w:color w:val="000000"/>
                <w:sz w:val="18"/>
                <w:szCs w:val="18"/>
              </w:rPr>
              <w:t>复印件加盖公章</w:t>
            </w:r>
            <w:r>
              <w:rPr>
                <w:rFonts w:hint="eastAsia" w:ascii="宋体" w:hAnsi="宋体" w:cs="宋体"/>
                <w:color w:val="000000"/>
                <w:sz w:val="18"/>
                <w:szCs w:val="18"/>
              </w:rPr>
              <w:t>,无证明材料不得分。</w:t>
            </w:r>
          </w:p>
        </w:tc>
      </w:tr>
      <w:tr w14:paraId="2BE2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96" w:type="dxa"/>
            <w:vMerge w:val="continue"/>
            <w:vAlign w:val="center"/>
          </w:tcPr>
          <w:p w14:paraId="206956DB">
            <w:pPr>
              <w:spacing w:line="320" w:lineRule="exact"/>
              <w:rPr>
                <w:rFonts w:hint="eastAsia" w:ascii="宋体" w:hAnsi="宋体" w:cs="宋体"/>
                <w:sz w:val="18"/>
                <w:szCs w:val="18"/>
              </w:rPr>
            </w:pPr>
          </w:p>
        </w:tc>
        <w:tc>
          <w:tcPr>
            <w:tcW w:w="1219" w:type="dxa"/>
            <w:vAlign w:val="center"/>
          </w:tcPr>
          <w:p w14:paraId="5863CCD5">
            <w:pPr>
              <w:spacing w:line="320" w:lineRule="exact"/>
              <w:jc w:val="center"/>
              <w:rPr>
                <w:rFonts w:ascii="宋体" w:hAnsi="宋体" w:cs="宋体"/>
                <w:sz w:val="18"/>
                <w:szCs w:val="18"/>
              </w:rPr>
            </w:pPr>
            <w:r>
              <w:rPr>
                <w:rFonts w:hint="eastAsia" w:ascii="宋体" w:hAnsi="宋体" w:cs="宋体"/>
                <w:sz w:val="18"/>
                <w:szCs w:val="18"/>
              </w:rPr>
              <w:t>产品责任险</w:t>
            </w:r>
          </w:p>
          <w:p w14:paraId="42F3FBC5">
            <w:pPr>
              <w:spacing w:line="320" w:lineRule="exact"/>
              <w:jc w:val="center"/>
              <w:rPr>
                <w:rFonts w:hint="eastAsia" w:ascii="宋体" w:hAnsi="宋体" w:cs="宋体"/>
                <w:sz w:val="18"/>
                <w:szCs w:val="18"/>
              </w:rPr>
            </w:pPr>
            <w:r>
              <w:rPr>
                <w:rFonts w:hint="eastAsia" w:ascii="宋体" w:hAnsi="宋体" w:cs="宋体"/>
                <w:sz w:val="18"/>
                <w:szCs w:val="18"/>
              </w:rPr>
              <w:t>（15分）</w:t>
            </w:r>
          </w:p>
        </w:tc>
        <w:tc>
          <w:tcPr>
            <w:tcW w:w="4563" w:type="dxa"/>
            <w:vAlign w:val="center"/>
          </w:tcPr>
          <w:p w14:paraId="4F8B2A68">
            <w:pPr>
              <w:rPr>
                <w:rFonts w:hint="eastAsia" w:ascii="宋体" w:hAnsi="宋体" w:cs="宋体"/>
                <w:color w:val="000000"/>
                <w:kern w:val="0"/>
                <w:sz w:val="18"/>
                <w:szCs w:val="18"/>
              </w:rPr>
            </w:pPr>
            <w:r>
              <w:rPr>
                <w:rFonts w:hint="eastAsia" w:ascii="宋体" w:hAnsi="宋体" w:cs="宋体"/>
                <w:color w:val="000000"/>
                <w:kern w:val="0"/>
                <w:sz w:val="18"/>
                <w:szCs w:val="18"/>
              </w:rPr>
              <w:t>投标人或制造厂商为所供产品（阻车路障）购买质保期内的责任险的得15分，没有不得分。</w:t>
            </w:r>
          </w:p>
        </w:tc>
        <w:tc>
          <w:tcPr>
            <w:tcW w:w="722" w:type="dxa"/>
            <w:vAlign w:val="center"/>
          </w:tcPr>
          <w:p w14:paraId="613AFBEE">
            <w:pPr>
              <w:jc w:val="center"/>
              <w:rPr>
                <w:rFonts w:hint="eastAsia" w:ascii="宋体" w:hAnsi="宋体" w:cs="宋体"/>
                <w:sz w:val="18"/>
                <w:szCs w:val="18"/>
              </w:rPr>
            </w:pPr>
            <w:r>
              <w:rPr>
                <w:rFonts w:hint="eastAsia" w:ascii="宋体" w:hAnsi="宋体" w:cs="宋体"/>
                <w:sz w:val="18"/>
                <w:szCs w:val="18"/>
              </w:rPr>
              <w:t>15分</w:t>
            </w:r>
          </w:p>
        </w:tc>
        <w:tc>
          <w:tcPr>
            <w:tcW w:w="2258" w:type="dxa"/>
            <w:vAlign w:val="center"/>
          </w:tcPr>
          <w:p w14:paraId="655D8670">
            <w:pPr>
              <w:rPr>
                <w:rFonts w:hint="eastAsia" w:ascii="宋体" w:hAnsi="宋体" w:cs="宋体"/>
                <w:color w:val="000000"/>
                <w:sz w:val="18"/>
                <w:szCs w:val="18"/>
              </w:rPr>
            </w:pPr>
            <w:r>
              <w:rPr>
                <w:rFonts w:hint="eastAsia" w:ascii="宋体" w:hAnsi="宋体" w:cs="宋体"/>
                <w:color w:val="000000"/>
                <w:sz w:val="18"/>
                <w:szCs w:val="18"/>
              </w:rPr>
              <w:t>提供有效的证明文件</w:t>
            </w:r>
            <w:r>
              <w:rPr>
                <w:rFonts w:hint="eastAsia" w:ascii="宋体" w:hAnsi="宋体" w:cs="宋体"/>
                <w:b/>
                <w:bCs/>
                <w:color w:val="000000"/>
                <w:sz w:val="18"/>
                <w:szCs w:val="18"/>
              </w:rPr>
              <w:t>复印件加盖公章</w:t>
            </w:r>
            <w:r>
              <w:rPr>
                <w:rFonts w:hint="eastAsia" w:ascii="宋体" w:hAnsi="宋体" w:cs="宋体"/>
                <w:color w:val="000000"/>
                <w:sz w:val="18"/>
                <w:szCs w:val="18"/>
              </w:rPr>
              <w:t>,无证明材料不得分。</w:t>
            </w:r>
          </w:p>
        </w:tc>
      </w:tr>
      <w:tr w14:paraId="6068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1096" w:type="dxa"/>
            <w:vMerge w:val="restart"/>
            <w:vAlign w:val="center"/>
          </w:tcPr>
          <w:p w14:paraId="47DF8718">
            <w:pPr>
              <w:spacing w:line="320" w:lineRule="exact"/>
              <w:jc w:val="center"/>
              <w:rPr>
                <w:rFonts w:hint="eastAsia" w:ascii="宋体" w:hAnsi="宋体" w:cs="宋体"/>
                <w:sz w:val="18"/>
                <w:szCs w:val="18"/>
              </w:rPr>
            </w:pPr>
            <w:r>
              <w:rPr>
                <w:rFonts w:hint="eastAsia" w:ascii="宋体" w:hAnsi="宋体" w:cs="宋体"/>
                <w:sz w:val="18"/>
                <w:szCs w:val="18"/>
              </w:rPr>
              <w:t>技术</w:t>
            </w:r>
          </w:p>
          <w:p w14:paraId="6C16A9C2">
            <w:pPr>
              <w:spacing w:line="320" w:lineRule="exact"/>
              <w:jc w:val="center"/>
              <w:rPr>
                <w:rFonts w:hint="eastAsia" w:ascii="宋体" w:hAnsi="宋体" w:cs="宋体"/>
                <w:sz w:val="18"/>
                <w:szCs w:val="18"/>
              </w:rPr>
            </w:pPr>
            <w:r>
              <w:rPr>
                <w:rFonts w:hint="eastAsia" w:ascii="宋体" w:hAnsi="宋体" w:cs="宋体"/>
                <w:sz w:val="18"/>
                <w:szCs w:val="18"/>
              </w:rPr>
              <w:t>部分</w:t>
            </w:r>
          </w:p>
          <w:p w14:paraId="3EB57FCB">
            <w:pPr>
              <w:spacing w:line="320" w:lineRule="exact"/>
              <w:jc w:val="center"/>
              <w:rPr>
                <w:rFonts w:hint="eastAsia" w:ascii="宋体" w:hAnsi="宋体" w:cs="宋体"/>
                <w:sz w:val="18"/>
                <w:szCs w:val="18"/>
              </w:rPr>
            </w:pPr>
            <w:r>
              <w:rPr>
                <w:rFonts w:hint="eastAsia" w:ascii="宋体" w:hAnsi="宋体" w:cs="宋体"/>
                <w:sz w:val="18"/>
                <w:szCs w:val="18"/>
              </w:rPr>
              <w:t>（40分）</w:t>
            </w:r>
          </w:p>
        </w:tc>
        <w:tc>
          <w:tcPr>
            <w:tcW w:w="1219" w:type="dxa"/>
            <w:vAlign w:val="center"/>
          </w:tcPr>
          <w:p w14:paraId="3DAD6DB3">
            <w:pPr>
              <w:pStyle w:val="10"/>
              <w:autoSpaceDE/>
              <w:autoSpaceDN/>
              <w:spacing w:line="320" w:lineRule="exact"/>
              <w:jc w:val="center"/>
              <w:rPr>
                <w:rFonts w:ascii="宋体" w:hAnsi="宋体" w:eastAsia="宋体" w:cs="宋体"/>
                <w:sz w:val="18"/>
                <w:szCs w:val="18"/>
              </w:rPr>
            </w:pPr>
            <w:r>
              <w:rPr>
                <w:rFonts w:ascii="宋体" w:hAnsi="宋体" w:eastAsia="宋体" w:cs="宋体"/>
                <w:sz w:val="18"/>
                <w:szCs w:val="18"/>
              </w:rPr>
              <w:t>技术指标</w:t>
            </w:r>
          </w:p>
          <w:p w14:paraId="774CD98B">
            <w:pPr>
              <w:pStyle w:val="10"/>
              <w:autoSpaceDE/>
              <w:autoSpaceDN/>
              <w:spacing w:line="320" w:lineRule="exact"/>
              <w:jc w:val="center"/>
              <w:rPr>
                <w:rFonts w:ascii="宋体" w:hAnsi="宋体" w:eastAsia="宋体" w:cs="宋体"/>
                <w:sz w:val="18"/>
                <w:szCs w:val="18"/>
              </w:rPr>
            </w:pPr>
            <w:r>
              <w:rPr>
                <w:rFonts w:ascii="宋体" w:hAnsi="宋体" w:eastAsia="宋体" w:cs="宋体"/>
                <w:sz w:val="18"/>
                <w:szCs w:val="18"/>
              </w:rPr>
              <w:t>（30分）</w:t>
            </w:r>
          </w:p>
        </w:tc>
        <w:tc>
          <w:tcPr>
            <w:tcW w:w="4563" w:type="dxa"/>
            <w:vAlign w:val="center"/>
          </w:tcPr>
          <w:p w14:paraId="49AA453F">
            <w:pPr>
              <w:rPr>
                <w:rFonts w:hint="eastAsia" w:ascii="宋体" w:hAnsi="宋体" w:cs="宋体"/>
                <w:sz w:val="18"/>
                <w:szCs w:val="18"/>
              </w:rPr>
            </w:pPr>
            <w:r>
              <w:rPr>
                <w:rFonts w:hint="eastAsia" w:ascii="宋体" w:hAnsi="宋体" w:cs="宋体"/>
                <w:color w:val="000000"/>
                <w:kern w:val="0"/>
                <w:sz w:val="18"/>
                <w:szCs w:val="18"/>
              </w:rPr>
              <w:t>投标产品技术参数要求和配置完全满足招标文件要求的得标准分，标“▲”参数不满足的每项扣3分，非标“▲”参数不满足的每项扣1分，扣完为止。</w:t>
            </w:r>
          </w:p>
        </w:tc>
        <w:tc>
          <w:tcPr>
            <w:tcW w:w="722" w:type="dxa"/>
            <w:vAlign w:val="center"/>
          </w:tcPr>
          <w:p w14:paraId="1E8CAE38">
            <w:pPr>
              <w:jc w:val="center"/>
              <w:rPr>
                <w:rFonts w:ascii="宋体" w:hAnsi="宋体" w:cs="宋体"/>
                <w:color w:val="000000"/>
                <w:kern w:val="0"/>
                <w:sz w:val="18"/>
                <w:szCs w:val="18"/>
              </w:rPr>
            </w:pPr>
            <w:r>
              <w:rPr>
                <w:rFonts w:hint="eastAsia" w:ascii="宋体" w:hAnsi="宋体" w:cs="宋体"/>
                <w:color w:val="000000"/>
                <w:kern w:val="0"/>
                <w:sz w:val="18"/>
                <w:szCs w:val="18"/>
              </w:rPr>
              <w:t>30分</w:t>
            </w:r>
          </w:p>
        </w:tc>
        <w:tc>
          <w:tcPr>
            <w:tcW w:w="2258" w:type="dxa"/>
            <w:vAlign w:val="center"/>
          </w:tcPr>
          <w:p w14:paraId="362EFCBB">
            <w:pPr>
              <w:spacing w:line="280" w:lineRule="exact"/>
              <w:rPr>
                <w:rFonts w:ascii="宋体" w:hAnsi="宋体" w:cs="宋体"/>
                <w:bCs/>
                <w:sz w:val="18"/>
                <w:szCs w:val="18"/>
              </w:rPr>
            </w:pPr>
            <w:r>
              <w:rPr>
                <w:rFonts w:hint="eastAsia" w:ascii="宋体" w:hAnsi="宋体" w:cs="宋体"/>
                <w:color w:val="000000"/>
                <w:kern w:val="0"/>
                <w:sz w:val="18"/>
                <w:szCs w:val="18"/>
              </w:rPr>
              <w:t>投标人须提供标“▲”项指标的</w:t>
            </w:r>
            <w:r>
              <w:rPr>
                <w:rFonts w:hint="eastAsia" w:ascii="宋体" w:hAnsi="宋体" w:cs="宋体"/>
                <w:b/>
                <w:bCs/>
                <w:color w:val="000000"/>
                <w:kern w:val="0"/>
                <w:sz w:val="18"/>
                <w:szCs w:val="18"/>
              </w:rPr>
              <w:t>设备检验报告（需加盖制造厂商公章）</w:t>
            </w:r>
            <w:r>
              <w:rPr>
                <w:rFonts w:hint="eastAsia" w:ascii="宋体" w:hAnsi="宋体" w:cs="宋体"/>
                <w:color w:val="000000"/>
                <w:kern w:val="0"/>
                <w:sz w:val="18"/>
                <w:szCs w:val="18"/>
              </w:rPr>
              <w:t>，检验报告需明示上述技术指标的响应情况。未能提供检验报告或提供的检验报告及相关内容与具体要求不符，视为不满足技术指标。</w:t>
            </w:r>
          </w:p>
        </w:tc>
      </w:tr>
      <w:tr w14:paraId="7BF9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096" w:type="dxa"/>
            <w:vMerge w:val="continue"/>
            <w:vAlign w:val="center"/>
          </w:tcPr>
          <w:p w14:paraId="51A4FB0E">
            <w:pPr>
              <w:spacing w:line="320" w:lineRule="exact"/>
              <w:jc w:val="center"/>
              <w:rPr>
                <w:rFonts w:hint="eastAsia" w:ascii="宋体" w:hAnsi="宋体" w:cs="宋体"/>
                <w:sz w:val="18"/>
                <w:szCs w:val="18"/>
              </w:rPr>
            </w:pPr>
          </w:p>
        </w:tc>
        <w:tc>
          <w:tcPr>
            <w:tcW w:w="1219" w:type="dxa"/>
            <w:vMerge w:val="restart"/>
            <w:vAlign w:val="center"/>
          </w:tcPr>
          <w:p w14:paraId="75FA4359">
            <w:pPr>
              <w:pStyle w:val="10"/>
              <w:autoSpaceDE/>
              <w:autoSpaceDN/>
              <w:spacing w:line="320" w:lineRule="exact"/>
              <w:jc w:val="center"/>
              <w:rPr>
                <w:rFonts w:ascii="宋体" w:hAnsi="宋体" w:eastAsia="宋体" w:cs="宋体"/>
                <w:sz w:val="18"/>
                <w:szCs w:val="18"/>
              </w:rPr>
            </w:pPr>
            <w:r>
              <w:rPr>
                <w:rFonts w:ascii="宋体" w:hAnsi="宋体" w:eastAsia="宋体" w:cs="宋体"/>
                <w:sz w:val="18"/>
                <w:szCs w:val="18"/>
              </w:rPr>
              <w:t>施工方案</w:t>
            </w:r>
          </w:p>
          <w:p w14:paraId="46F3E5A0">
            <w:pPr>
              <w:pStyle w:val="10"/>
              <w:autoSpaceDE/>
              <w:autoSpaceDN/>
              <w:spacing w:line="320" w:lineRule="exact"/>
              <w:jc w:val="center"/>
              <w:rPr>
                <w:rFonts w:ascii="宋体" w:hAnsi="宋体" w:eastAsia="宋体" w:cs="宋体"/>
                <w:sz w:val="18"/>
                <w:szCs w:val="18"/>
              </w:rPr>
            </w:pPr>
            <w:r>
              <w:rPr>
                <w:rFonts w:ascii="宋体" w:hAnsi="宋体" w:eastAsia="宋体" w:cs="宋体"/>
                <w:sz w:val="18"/>
                <w:szCs w:val="18"/>
              </w:rPr>
              <w:t>(10分)</w:t>
            </w:r>
          </w:p>
        </w:tc>
        <w:tc>
          <w:tcPr>
            <w:tcW w:w="4563" w:type="dxa"/>
            <w:vAlign w:val="center"/>
          </w:tcPr>
          <w:p w14:paraId="79CDF243">
            <w:pPr>
              <w:rPr>
                <w:rFonts w:hint="eastAsia" w:ascii="宋体" w:hAnsi="宋体" w:cs="宋体"/>
                <w:color w:val="000000"/>
                <w:kern w:val="0"/>
                <w:sz w:val="18"/>
                <w:szCs w:val="18"/>
              </w:rPr>
            </w:pPr>
            <w:r>
              <w:rPr>
                <w:rFonts w:hint="eastAsia" w:ascii="宋体" w:hAnsi="宋体" w:cs="宋体"/>
                <w:color w:val="000000"/>
                <w:kern w:val="0"/>
                <w:sz w:val="18"/>
                <w:szCs w:val="18"/>
              </w:rPr>
              <w:t>施工组织及实施方案：</w:t>
            </w:r>
          </w:p>
          <w:p w14:paraId="1610E5E7">
            <w:pPr>
              <w:rPr>
                <w:rFonts w:hint="eastAsia" w:ascii="宋体" w:hAnsi="宋体" w:cs="宋体"/>
                <w:color w:val="000000"/>
                <w:kern w:val="0"/>
                <w:sz w:val="18"/>
                <w:szCs w:val="18"/>
              </w:rPr>
            </w:pPr>
            <w:r>
              <w:rPr>
                <w:rFonts w:hint="eastAsia" w:ascii="宋体" w:hAnsi="宋体" w:cs="宋体"/>
                <w:color w:val="000000"/>
                <w:kern w:val="0"/>
                <w:sz w:val="18"/>
                <w:szCs w:val="18"/>
              </w:rPr>
              <w:t>按照施工组织计划、安装实施方案、主要工序施工工艺等</w:t>
            </w:r>
            <w:r>
              <w:rPr>
                <w:rFonts w:hint="eastAsia" w:ascii="宋体" w:hAnsi="宋体" w:cs="宋体"/>
                <w:sz w:val="18"/>
                <w:szCs w:val="18"/>
              </w:rPr>
              <w:t>进行排序打分，最优的得标准分，其余依次递减0.5分，扣完为止，完全不能体现该项内容的不得分。</w:t>
            </w:r>
          </w:p>
        </w:tc>
        <w:tc>
          <w:tcPr>
            <w:tcW w:w="722" w:type="dxa"/>
            <w:vAlign w:val="center"/>
          </w:tcPr>
          <w:p w14:paraId="19E59FDA">
            <w:pPr>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2258" w:type="dxa"/>
            <w:vMerge w:val="restart"/>
            <w:vAlign w:val="center"/>
          </w:tcPr>
          <w:p w14:paraId="2E47A7D9">
            <w:pPr>
              <w:spacing w:line="280" w:lineRule="exact"/>
              <w:rPr>
                <w:rFonts w:hint="eastAsia" w:ascii="宋体" w:hAnsi="宋体" w:cs="宋体"/>
                <w:bCs/>
                <w:sz w:val="18"/>
                <w:szCs w:val="18"/>
              </w:rPr>
            </w:pPr>
            <w:r>
              <w:rPr>
                <w:rFonts w:hint="eastAsia" w:ascii="宋体" w:hAnsi="宋体" w:cs="宋体"/>
                <w:bCs/>
                <w:sz w:val="18"/>
                <w:szCs w:val="18"/>
              </w:rPr>
              <w:t>在满足项目需求基础上，按方案制定的针对性、实施可行性、完善性进行横向比较综合评分。</w:t>
            </w:r>
          </w:p>
        </w:tc>
      </w:tr>
      <w:tr w14:paraId="25D5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96" w:type="dxa"/>
            <w:vMerge w:val="continue"/>
            <w:vAlign w:val="center"/>
          </w:tcPr>
          <w:p w14:paraId="5A51ACCF">
            <w:pPr>
              <w:spacing w:line="320" w:lineRule="exact"/>
              <w:jc w:val="center"/>
              <w:rPr>
                <w:rFonts w:hint="eastAsia" w:ascii="宋体" w:hAnsi="宋体" w:cs="宋体"/>
                <w:sz w:val="18"/>
                <w:szCs w:val="18"/>
              </w:rPr>
            </w:pPr>
          </w:p>
        </w:tc>
        <w:tc>
          <w:tcPr>
            <w:tcW w:w="1219" w:type="dxa"/>
            <w:vMerge w:val="continue"/>
            <w:vAlign w:val="center"/>
          </w:tcPr>
          <w:p w14:paraId="4E0B034B">
            <w:pPr>
              <w:pStyle w:val="10"/>
              <w:autoSpaceDE/>
              <w:autoSpaceDN/>
              <w:spacing w:line="320" w:lineRule="exact"/>
              <w:jc w:val="center"/>
              <w:rPr>
                <w:rFonts w:ascii="宋体" w:hAnsi="宋体" w:eastAsia="宋体" w:cs="宋体"/>
                <w:sz w:val="18"/>
                <w:szCs w:val="18"/>
              </w:rPr>
            </w:pPr>
          </w:p>
        </w:tc>
        <w:tc>
          <w:tcPr>
            <w:tcW w:w="4563" w:type="dxa"/>
            <w:vAlign w:val="center"/>
          </w:tcPr>
          <w:p w14:paraId="06A9E0FB">
            <w:pPr>
              <w:rPr>
                <w:rFonts w:hint="eastAsia" w:ascii="宋体" w:hAnsi="宋体" w:cs="宋体"/>
                <w:color w:val="000000"/>
                <w:kern w:val="0"/>
                <w:sz w:val="18"/>
                <w:szCs w:val="18"/>
              </w:rPr>
            </w:pPr>
            <w:r>
              <w:rPr>
                <w:rFonts w:hint="eastAsia" w:ascii="宋体" w:hAnsi="宋体" w:cs="宋体"/>
                <w:color w:val="000000"/>
                <w:kern w:val="0"/>
                <w:sz w:val="18"/>
                <w:szCs w:val="18"/>
              </w:rPr>
              <w:t>供货周期、质量保证及安全保证措施：</w:t>
            </w:r>
          </w:p>
          <w:p w14:paraId="65256ADD">
            <w:pPr>
              <w:rPr>
                <w:rFonts w:hint="eastAsia" w:ascii="宋体" w:hAnsi="宋体" w:cs="宋体"/>
                <w:color w:val="000000"/>
                <w:kern w:val="0"/>
                <w:sz w:val="18"/>
                <w:szCs w:val="18"/>
              </w:rPr>
            </w:pPr>
            <w:r>
              <w:rPr>
                <w:rFonts w:hint="eastAsia" w:ascii="宋体" w:hAnsi="宋体" w:cs="宋体"/>
                <w:color w:val="000000"/>
                <w:kern w:val="0"/>
                <w:sz w:val="18"/>
                <w:szCs w:val="18"/>
              </w:rPr>
              <w:t>根据所供货物的供货周期、质量保证措施及安全保证措施内容</w:t>
            </w:r>
            <w:r>
              <w:rPr>
                <w:rFonts w:hint="eastAsia" w:ascii="宋体" w:hAnsi="宋体" w:cs="宋体"/>
                <w:sz w:val="18"/>
                <w:szCs w:val="18"/>
              </w:rPr>
              <w:t>等进行排序打分，最优的得标准分，其余依次递减0.5分，扣完为止，完全不能体现该项内容的不得分。</w:t>
            </w:r>
          </w:p>
        </w:tc>
        <w:tc>
          <w:tcPr>
            <w:tcW w:w="722" w:type="dxa"/>
            <w:vAlign w:val="center"/>
          </w:tcPr>
          <w:p w14:paraId="13BD4EEC">
            <w:pPr>
              <w:jc w:val="center"/>
              <w:rPr>
                <w:rFonts w:hint="eastAsia" w:ascii="宋体" w:hAnsi="宋体" w:cs="宋体"/>
                <w:color w:val="000000"/>
                <w:kern w:val="0"/>
                <w:sz w:val="18"/>
                <w:szCs w:val="18"/>
              </w:rPr>
            </w:pPr>
            <w:r>
              <w:rPr>
                <w:rFonts w:hint="eastAsia" w:ascii="宋体" w:hAnsi="宋体" w:cs="宋体"/>
                <w:color w:val="000000"/>
                <w:kern w:val="0"/>
                <w:sz w:val="18"/>
                <w:szCs w:val="18"/>
              </w:rPr>
              <w:t>2分</w:t>
            </w:r>
          </w:p>
          <w:p w14:paraId="0DFD5424">
            <w:pPr>
              <w:jc w:val="center"/>
              <w:rPr>
                <w:rFonts w:hint="eastAsia" w:ascii="宋体" w:hAnsi="宋体" w:cs="宋体"/>
                <w:color w:val="000000"/>
                <w:kern w:val="0"/>
                <w:sz w:val="18"/>
                <w:szCs w:val="18"/>
              </w:rPr>
            </w:pPr>
          </w:p>
        </w:tc>
        <w:tc>
          <w:tcPr>
            <w:tcW w:w="2258" w:type="dxa"/>
            <w:vMerge w:val="continue"/>
            <w:vAlign w:val="center"/>
          </w:tcPr>
          <w:p w14:paraId="32BDA72C">
            <w:pPr>
              <w:spacing w:line="280" w:lineRule="exact"/>
              <w:rPr>
                <w:rFonts w:hint="eastAsia" w:ascii="宋体" w:hAnsi="宋体" w:cs="宋体"/>
                <w:bCs/>
                <w:sz w:val="18"/>
                <w:szCs w:val="18"/>
              </w:rPr>
            </w:pPr>
          </w:p>
        </w:tc>
      </w:tr>
      <w:tr w14:paraId="13D1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96" w:type="dxa"/>
            <w:vMerge w:val="continue"/>
            <w:vAlign w:val="center"/>
          </w:tcPr>
          <w:p w14:paraId="039DD5E1">
            <w:pPr>
              <w:spacing w:line="320" w:lineRule="exact"/>
              <w:jc w:val="center"/>
              <w:rPr>
                <w:rFonts w:hint="eastAsia" w:ascii="宋体" w:hAnsi="宋体" w:cs="宋体"/>
                <w:sz w:val="18"/>
                <w:szCs w:val="18"/>
              </w:rPr>
            </w:pPr>
          </w:p>
        </w:tc>
        <w:tc>
          <w:tcPr>
            <w:tcW w:w="1219" w:type="dxa"/>
            <w:vMerge w:val="continue"/>
            <w:vAlign w:val="center"/>
          </w:tcPr>
          <w:p w14:paraId="752C38E4">
            <w:pPr>
              <w:pStyle w:val="10"/>
              <w:autoSpaceDE/>
              <w:autoSpaceDN/>
              <w:spacing w:line="320" w:lineRule="exact"/>
              <w:jc w:val="center"/>
              <w:rPr>
                <w:rFonts w:ascii="宋体" w:hAnsi="宋体" w:eastAsia="宋体" w:cs="宋体"/>
                <w:sz w:val="18"/>
                <w:szCs w:val="18"/>
              </w:rPr>
            </w:pPr>
          </w:p>
        </w:tc>
        <w:tc>
          <w:tcPr>
            <w:tcW w:w="4563" w:type="dxa"/>
            <w:vAlign w:val="center"/>
          </w:tcPr>
          <w:p w14:paraId="492A75D8">
            <w:pPr>
              <w:rPr>
                <w:rFonts w:hint="eastAsia" w:ascii="宋体" w:hAnsi="宋体" w:cs="宋体"/>
                <w:color w:val="000000"/>
                <w:kern w:val="0"/>
                <w:sz w:val="18"/>
                <w:szCs w:val="18"/>
              </w:rPr>
            </w:pPr>
            <w:r>
              <w:rPr>
                <w:rFonts w:hint="eastAsia" w:ascii="宋体" w:hAnsi="宋体" w:cs="宋体"/>
                <w:color w:val="000000"/>
                <w:kern w:val="0"/>
                <w:sz w:val="18"/>
                <w:szCs w:val="18"/>
              </w:rPr>
              <w:t>售后服务及承诺：</w:t>
            </w:r>
          </w:p>
          <w:p w14:paraId="124BDDD6">
            <w:pPr>
              <w:rPr>
                <w:rFonts w:hint="eastAsia" w:ascii="宋体" w:hAnsi="宋体" w:cs="宋体"/>
                <w:color w:val="000000"/>
                <w:kern w:val="0"/>
                <w:sz w:val="18"/>
                <w:szCs w:val="18"/>
              </w:rPr>
            </w:pPr>
            <w:r>
              <w:rPr>
                <w:rFonts w:hint="eastAsia" w:ascii="宋体" w:hAnsi="宋体" w:cs="宋体"/>
                <w:color w:val="000000"/>
                <w:kern w:val="0"/>
                <w:sz w:val="18"/>
                <w:szCs w:val="18"/>
              </w:rPr>
              <w:t>根据售后服务方案，售后人员配置，服务响应体系及技术培训方案</w:t>
            </w:r>
            <w:r>
              <w:rPr>
                <w:rFonts w:hint="eastAsia" w:ascii="宋体" w:hAnsi="宋体" w:cs="宋体"/>
                <w:sz w:val="18"/>
                <w:szCs w:val="18"/>
              </w:rPr>
              <w:t>进行排序打分，最优的得标准分，其余依次递减0.5分，扣完为止，完全不能体现该项内容的不得分。</w:t>
            </w:r>
          </w:p>
        </w:tc>
        <w:tc>
          <w:tcPr>
            <w:tcW w:w="722" w:type="dxa"/>
            <w:vAlign w:val="center"/>
          </w:tcPr>
          <w:p w14:paraId="5090F401">
            <w:pPr>
              <w:jc w:val="center"/>
              <w:rPr>
                <w:rFonts w:hint="eastAsia" w:ascii="宋体" w:hAnsi="宋体" w:cs="宋体"/>
                <w:color w:val="000000"/>
                <w:kern w:val="0"/>
                <w:sz w:val="18"/>
                <w:szCs w:val="18"/>
              </w:rPr>
            </w:pPr>
            <w:r>
              <w:rPr>
                <w:rFonts w:hint="eastAsia" w:ascii="宋体" w:hAnsi="宋体" w:cs="宋体"/>
                <w:color w:val="000000"/>
                <w:kern w:val="0"/>
                <w:sz w:val="18"/>
                <w:szCs w:val="18"/>
              </w:rPr>
              <w:t>2分</w:t>
            </w:r>
          </w:p>
          <w:p w14:paraId="5FAD3103">
            <w:pPr>
              <w:jc w:val="center"/>
              <w:rPr>
                <w:rFonts w:hint="eastAsia" w:ascii="宋体" w:hAnsi="宋体" w:cs="宋体"/>
                <w:color w:val="000000"/>
                <w:kern w:val="0"/>
                <w:sz w:val="18"/>
                <w:szCs w:val="18"/>
              </w:rPr>
            </w:pPr>
          </w:p>
        </w:tc>
        <w:tc>
          <w:tcPr>
            <w:tcW w:w="2258" w:type="dxa"/>
            <w:vMerge w:val="continue"/>
            <w:vAlign w:val="center"/>
          </w:tcPr>
          <w:p w14:paraId="27A3C35F">
            <w:pPr>
              <w:spacing w:line="280" w:lineRule="exact"/>
              <w:rPr>
                <w:rFonts w:hint="eastAsia" w:ascii="宋体" w:hAnsi="宋体" w:cs="宋体"/>
                <w:bCs/>
                <w:sz w:val="18"/>
                <w:szCs w:val="18"/>
              </w:rPr>
            </w:pPr>
          </w:p>
        </w:tc>
      </w:tr>
    </w:tbl>
    <w:p w14:paraId="0C108CFC">
      <w:pPr>
        <w:pStyle w:val="2"/>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2825381"/>
      <w:docPartObj>
        <w:docPartGallery w:val="AutoText"/>
      </w:docPartObj>
    </w:sdtPr>
    <w:sdtContent>
      <w:p w14:paraId="383A3B25">
        <w:pPr>
          <w:pStyle w:val="3"/>
          <w:jc w:val="center"/>
        </w:pPr>
        <w:r>
          <w:fldChar w:fldCharType="begin"/>
        </w:r>
        <w:r>
          <w:instrText xml:space="preserve">PAGE   \* MERGEFORMAT</w:instrText>
        </w:r>
        <w:r>
          <w:fldChar w:fldCharType="separate"/>
        </w:r>
        <w:r>
          <w:rPr>
            <w:lang w:val="zh-CN"/>
          </w:rPr>
          <w:t>5</w:t>
        </w:r>
        <w:r>
          <w:fldChar w:fldCharType="end"/>
        </w:r>
      </w:p>
    </w:sdtContent>
  </w:sdt>
  <w:p w14:paraId="7DA3803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CE"/>
    <w:rsid w:val="00146720"/>
    <w:rsid w:val="00975D12"/>
    <w:rsid w:val="00E63685"/>
    <w:rsid w:val="00F246CE"/>
    <w:rsid w:val="00F91F3C"/>
    <w:rsid w:val="094E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semiHidden/>
    <w:unhideWhenUsed/>
    <w:uiPriority w:val="99"/>
    <w:pPr>
      <w:spacing w:after="12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semiHidden/>
    <w:uiPriority w:val="99"/>
    <w:rPr>
      <w:rFonts w:ascii="Times New Roman" w:hAnsi="Times New Roman" w:eastAsia="宋体" w:cs="Times New Roman"/>
      <w:szCs w:val="24"/>
    </w:r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paragraph" w:customStyle="1" w:styleId="10">
    <w:name w:val="Default"/>
    <w:unhideWhenUsed/>
    <w:qFormat/>
    <w:uiPriority w:val="0"/>
    <w:pPr>
      <w:widowControl w:val="0"/>
      <w:autoSpaceDE w:val="0"/>
      <w:autoSpaceDN w:val="0"/>
    </w:pPr>
    <w:rPr>
      <w:rFonts w:hint="eastAsia" w:ascii="黑体" w:hAnsi="黑体" w:eastAsia="黑体"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3074</Words>
  <Characters>3409</Characters>
  <Lines>91</Lines>
  <Paragraphs>64</Paragraphs>
  <TotalTime>5</TotalTime>
  <ScaleCrop>false</ScaleCrop>
  <LinksUpToDate>false</LinksUpToDate>
  <CharactersWithSpaces>3436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2024-12-09T08:49:00Z</dcterms:created>
  <dc:creator>王玉</dc:creator>
  <cp:lastModifiedBy>王玉</cp:lastModifiedBy>
  <dcterms:modified xsi:type="dcterms:W3CDTF">2024-12-10T03:23:15Z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07A1C452A86945ABAF1EC3C59922E38B_12</vt:lpwstr>
  </property>
</Properties>
</file>