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4A135">
      <w:pPr>
        <w:pStyle w:val="5"/>
        <w:jc w:val="center"/>
        <w:rPr>
          <w:rFonts w:ascii="仿宋" w:hAnsi="仿宋" w:eastAsia="仿宋" w:cs="仿宋"/>
          <w:b/>
          <w:bCs/>
          <w:sz w:val="40"/>
          <w:szCs w:val="40"/>
        </w:rPr>
      </w:pPr>
      <w:r>
        <w:rPr>
          <w:rFonts w:hint="eastAsia" w:ascii="仿宋" w:hAnsi="仿宋" w:eastAsia="仿宋" w:cs="仿宋"/>
          <w:b/>
          <w:bCs/>
          <w:sz w:val="40"/>
          <w:szCs w:val="40"/>
          <w:lang w:eastAsia="zh-CN"/>
        </w:rPr>
        <w:t>北京协和医学院</w:t>
      </w:r>
      <w:r>
        <w:rPr>
          <w:rFonts w:hint="eastAsia" w:ascii="仿宋" w:hAnsi="仿宋" w:eastAsia="仿宋" w:cs="仿宋"/>
          <w:b/>
          <w:bCs/>
          <w:sz w:val="40"/>
          <w:szCs w:val="40"/>
        </w:rPr>
        <w:t>心理素质教育一体化平台</w:t>
      </w:r>
    </w:p>
    <w:p w14:paraId="1EE8D9B8">
      <w:pPr>
        <w:pStyle w:val="5"/>
        <w:jc w:val="center"/>
        <w:rPr>
          <w:rFonts w:ascii="仿宋" w:hAnsi="仿宋" w:eastAsia="仿宋" w:cs="仿宋"/>
          <w:b/>
          <w:bCs/>
          <w:sz w:val="40"/>
          <w:szCs w:val="40"/>
        </w:rPr>
      </w:pPr>
      <w:r>
        <w:rPr>
          <w:rFonts w:hint="eastAsia" w:ascii="仿宋" w:hAnsi="仿宋" w:eastAsia="仿宋" w:cs="仿宋"/>
          <w:b/>
          <w:bCs/>
          <w:sz w:val="40"/>
          <w:szCs w:val="40"/>
        </w:rPr>
        <w:t>二级等级保护测评服务比选公告</w:t>
      </w:r>
    </w:p>
    <w:p w14:paraId="308D7FD0">
      <w:pPr>
        <w:keepNext/>
        <w:keepLines/>
        <w:numPr>
          <w:ilvl w:val="0"/>
          <w:numId w:val="1"/>
        </w:numPr>
        <w:spacing w:before="260" w:after="260" w:line="416" w:lineRule="auto"/>
        <w:outlineLvl w:val="1"/>
        <w:rPr>
          <w:rFonts w:ascii="宋体" w:hAnsi="宋体" w:eastAsia="宋体" w:cs="Times New Roman"/>
          <w:b/>
          <w:bCs/>
          <w:sz w:val="28"/>
          <w:szCs w:val="28"/>
        </w:rPr>
      </w:pPr>
      <w:r>
        <w:rPr>
          <w:rFonts w:hint="eastAsia" w:ascii="宋体" w:hAnsi="宋体" w:eastAsia="宋体" w:cs="Times New Roman"/>
          <w:b/>
          <w:bCs/>
          <w:sz w:val="28"/>
          <w:szCs w:val="28"/>
        </w:rPr>
        <w:t>项目基本情况</w:t>
      </w:r>
    </w:p>
    <w:p w14:paraId="59FC9A7C">
      <w:pPr>
        <w:pStyle w:val="6"/>
        <w:widowControl/>
        <w:spacing w:beforeAutospacing="0" w:afterAutospacing="0" w:line="360" w:lineRule="auto"/>
        <w:ind w:firstLine="480"/>
        <w:jc w:val="both"/>
      </w:pPr>
      <w:r>
        <w:rPr>
          <w:rFonts w:ascii="仿宋" w:hAnsi="仿宋" w:eastAsia="仿宋" w:cs="仿宋"/>
          <w:color w:val="666666"/>
          <w:shd w:val="clear" w:color="auto" w:fill="FFFFFF"/>
        </w:rPr>
        <w:t>为更好运行和维护</w:t>
      </w:r>
      <w:r>
        <w:rPr>
          <w:rFonts w:hint="eastAsia" w:ascii="仿宋" w:hAnsi="仿宋" w:eastAsia="仿宋" w:cs="仿宋"/>
          <w:color w:val="666666"/>
          <w:shd w:val="clear" w:color="auto" w:fill="FFFFFF"/>
          <w:lang w:eastAsia="zh-CN"/>
        </w:rPr>
        <w:t>北京协和医学院</w:t>
      </w:r>
      <w:r>
        <w:rPr>
          <w:rFonts w:hint="eastAsia" w:ascii="仿宋" w:hAnsi="仿宋" w:eastAsia="仿宋" w:cs="仿宋"/>
          <w:color w:val="666666"/>
          <w:shd w:val="clear" w:color="auto" w:fill="FFFFFF"/>
        </w:rPr>
        <w:t>心理素质教育一体化平台</w:t>
      </w:r>
      <w:r>
        <w:rPr>
          <w:rFonts w:ascii="仿宋" w:hAnsi="仿宋" w:eastAsia="仿宋" w:cs="仿宋"/>
          <w:color w:val="666666"/>
          <w:shd w:val="clear" w:color="auto" w:fill="FFFFFF"/>
        </w:rPr>
        <w:t>各项功能，以便确保院校各项工作能够安全有序地开展，现拟采购</w:t>
      </w:r>
      <w:r>
        <w:rPr>
          <w:rFonts w:hint="eastAsia" w:ascii="仿宋" w:hAnsi="仿宋" w:eastAsia="仿宋" w:cs="仿宋"/>
          <w:color w:val="666666"/>
          <w:shd w:val="clear" w:color="auto" w:fill="FFFFFF"/>
        </w:rPr>
        <w:t>心理素质教育一体化平台</w:t>
      </w:r>
      <w:r>
        <w:rPr>
          <w:rFonts w:ascii="仿宋" w:hAnsi="仿宋" w:eastAsia="仿宋" w:cs="仿宋"/>
          <w:color w:val="666666"/>
          <w:shd w:val="clear" w:color="auto" w:fill="FFFFFF"/>
        </w:rPr>
        <w:t>二级等级保护测评服务，诚邀符合资质条件和具备项目能力的供应商参加比选。现将项目情况公告如下：</w:t>
      </w:r>
    </w:p>
    <w:p w14:paraId="7DFA2CFC">
      <w:pPr>
        <w:pStyle w:val="6"/>
        <w:widowControl/>
        <w:numPr>
          <w:ilvl w:val="0"/>
          <w:numId w:val="2"/>
        </w:numPr>
        <w:spacing w:beforeAutospacing="0" w:afterAutospacing="0" w:line="360" w:lineRule="auto"/>
        <w:jc w:val="both"/>
      </w:pPr>
      <w:r>
        <w:rPr>
          <w:rFonts w:ascii="仿宋" w:hAnsi="仿宋" w:eastAsia="仿宋" w:cs="仿宋"/>
          <w:color w:val="666666"/>
          <w:shd w:val="clear" w:color="auto" w:fill="FFFFFF"/>
        </w:rPr>
        <w:t>比选项目名称：</w:t>
      </w:r>
      <w:r>
        <w:rPr>
          <w:rFonts w:hint="eastAsia" w:ascii="仿宋" w:hAnsi="仿宋" w:eastAsia="仿宋" w:cs="仿宋"/>
          <w:color w:val="666666"/>
          <w:shd w:val="clear" w:color="auto" w:fill="FFFFFF"/>
          <w:lang w:eastAsia="zh-CN"/>
        </w:rPr>
        <w:t>北京协和医学院</w:t>
      </w:r>
      <w:r>
        <w:rPr>
          <w:rFonts w:hint="eastAsia" w:ascii="仿宋" w:hAnsi="仿宋" w:eastAsia="仿宋" w:cs="仿宋"/>
          <w:color w:val="666666"/>
          <w:shd w:val="clear" w:color="auto" w:fill="FFFFFF"/>
        </w:rPr>
        <w:t>心理素质教育一体化平台</w:t>
      </w:r>
      <w:r>
        <w:rPr>
          <w:rFonts w:ascii="仿宋" w:hAnsi="仿宋" w:eastAsia="仿宋" w:cs="仿宋"/>
          <w:color w:val="666666"/>
          <w:shd w:val="clear" w:color="auto" w:fill="FFFFFF"/>
        </w:rPr>
        <w:t>二级等级保护测评服务</w:t>
      </w:r>
    </w:p>
    <w:p w14:paraId="0D1AD23E">
      <w:pPr>
        <w:pStyle w:val="6"/>
        <w:widowControl/>
        <w:numPr>
          <w:ilvl w:val="0"/>
          <w:numId w:val="2"/>
        </w:numPr>
        <w:spacing w:beforeAutospacing="0" w:afterAutospacing="0" w:line="360" w:lineRule="auto"/>
        <w:jc w:val="both"/>
      </w:pPr>
      <w:r>
        <w:rPr>
          <w:rFonts w:ascii="仿宋" w:hAnsi="仿宋" w:eastAsia="仿宋" w:cs="仿宋"/>
          <w:color w:val="666666"/>
          <w:shd w:val="clear" w:color="auto" w:fill="FFFFFF"/>
        </w:rPr>
        <w:t>采购预算：人民币</w:t>
      </w:r>
      <w:r>
        <w:rPr>
          <w:rFonts w:hint="eastAsia" w:ascii="仿宋" w:hAnsi="仿宋" w:eastAsia="仿宋" w:cs="仿宋"/>
          <w:color w:val="262626" w:themeColor="text1" w:themeTint="D9"/>
          <w:shd w:val="clear" w:color="auto" w:fill="FFFFFF"/>
          <w:lang w:val="en-US" w:eastAsia="zh-CN"/>
          <w14:textFill>
            <w14:solidFill>
              <w14:schemeClr w14:val="tx1">
                <w14:lumMod w14:val="85000"/>
                <w14:lumOff w14:val="15000"/>
              </w14:schemeClr>
            </w14:solidFill>
          </w14:textFill>
        </w:rPr>
        <w:t>10</w:t>
      </w:r>
      <w:r>
        <w:rPr>
          <w:rFonts w:ascii="仿宋" w:hAnsi="仿宋" w:eastAsia="仿宋" w:cs="仿宋"/>
          <w:color w:val="666666"/>
          <w:shd w:val="clear" w:color="auto" w:fill="FFFFFF"/>
        </w:rPr>
        <w:t>万元</w:t>
      </w:r>
    </w:p>
    <w:p w14:paraId="64D9DC8C">
      <w:pPr>
        <w:pStyle w:val="6"/>
        <w:widowControl/>
        <w:numPr>
          <w:ilvl w:val="0"/>
          <w:numId w:val="2"/>
        </w:numPr>
        <w:spacing w:beforeAutospacing="0" w:afterAutospacing="0" w:line="360" w:lineRule="auto"/>
        <w:jc w:val="both"/>
      </w:pPr>
      <w:r>
        <w:rPr>
          <w:rFonts w:ascii="仿宋" w:hAnsi="仿宋" w:eastAsia="仿宋" w:cs="仿宋"/>
          <w:color w:val="666666"/>
          <w:shd w:val="clear" w:color="auto" w:fill="FFFFFF"/>
        </w:rPr>
        <w:t>项目范围：</w:t>
      </w:r>
    </w:p>
    <w:p w14:paraId="2A1EB636">
      <w:pPr>
        <w:pStyle w:val="6"/>
        <w:widowControl/>
        <w:spacing w:beforeAutospacing="0" w:afterAutospacing="0" w:line="360" w:lineRule="auto"/>
        <w:jc w:val="both"/>
      </w:pPr>
      <w:r>
        <w:rPr>
          <w:rFonts w:ascii="仿宋" w:hAnsi="仿宋" w:eastAsia="仿宋" w:cs="仿宋"/>
          <w:color w:val="666666"/>
          <w:shd w:val="clear" w:color="auto" w:fill="FFFFFF"/>
        </w:rPr>
        <w:t>对院校</w:t>
      </w:r>
      <w:r>
        <w:rPr>
          <w:rFonts w:hint="eastAsia" w:ascii="仿宋" w:hAnsi="仿宋" w:eastAsia="仿宋" w:cs="仿宋"/>
          <w:color w:val="666666"/>
          <w:shd w:val="clear" w:color="auto" w:fill="FFFFFF"/>
        </w:rPr>
        <w:t>心理素质教育一体化平台</w:t>
      </w:r>
      <w:r>
        <w:rPr>
          <w:rFonts w:ascii="仿宋" w:hAnsi="仿宋" w:eastAsia="仿宋" w:cs="仿宋"/>
          <w:color w:val="666666"/>
          <w:shd w:val="clear" w:color="auto" w:fill="FFFFFF"/>
        </w:rPr>
        <w:t>进行</w:t>
      </w:r>
      <w:r>
        <w:rPr>
          <w:rFonts w:hint="eastAsia" w:ascii="仿宋" w:hAnsi="仿宋" w:eastAsia="仿宋" w:cs="仿宋"/>
          <w:color w:val="666666"/>
          <w:shd w:val="clear" w:color="auto" w:fill="FFFFFF"/>
        </w:rPr>
        <w:t>系统定级、系统备案、系统差距测评、</w:t>
      </w:r>
      <w:r>
        <w:rPr>
          <w:rFonts w:ascii="仿宋" w:hAnsi="仿宋" w:eastAsia="仿宋" w:cs="仿宋"/>
          <w:color w:val="666666"/>
          <w:shd w:val="clear" w:color="auto" w:fill="FFFFFF"/>
        </w:rPr>
        <w:t>等级保护测评、漏洞扫描等工作，发现系统存在的安全隐患，提出切实可行的整改方案。</w:t>
      </w:r>
    </w:p>
    <w:p w14:paraId="008108CB">
      <w:pPr>
        <w:pStyle w:val="6"/>
        <w:widowControl/>
        <w:numPr>
          <w:ilvl w:val="0"/>
          <w:numId w:val="2"/>
        </w:numPr>
        <w:spacing w:beforeAutospacing="0" w:afterAutospacing="0" w:line="360" w:lineRule="auto"/>
        <w:ind w:left="5" w:hanging="5"/>
        <w:jc w:val="both"/>
      </w:pPr>
      <w:r>
        <w:rPr>
          <w:rFonts w:ascii="仿宋" w:hAnsi="仿宋" w:eastAsia="仿宋" w:cs="仿宋"/>
          <w:color w:val="666666"/>
          <w:shd w:val="clear" w:color="auto" w:fill="FFFFFF"/>
        </w:rPr>
        <w:t>项目目标：分析所运行的信息系统安全现状，为确保信息系统安全运行，对系统实行</w:t>
      </w:r>
      <w:r>
        <w:rPr>
          <w:rFonts w:hint="eastAsia" w:ascii="仿宋" w:hAnsi="仿宋" w:eastAsia="仿宋" w:cs="仿宋"/>
          <w:color w:val="666666"/>
          <w:shd w:val="clear" w:color="auto" w:fill="FFFFFF"/>
        </w:rPr>
        <w:t>系统定级、系统备案、系统差距测评、</w:t>
      </w:r>
      <w:r>
        <w:rPr>
          <w:rFonts w:ascii="仿宋" w:hAnsi="仿宋" w:eastAsia="仿宋" w:cs="仿宋"/>
          <w:color w:val="666666"/>
          <w:shd w:val="clear" w:color="auto" w:fill="FFFFFF"/>
        </w:rPr>
        <w:t>等保测评、漏洞扫描等工作，通过测评发现其在安全技术和安全管理方面与相应安全等级保护基本要求之间的差距；通过分析差距了解和掌握该系统相关资产存在的安全脆弱性，以及可能面临的网络安全威胁与风险。依据差距测评和风险分析的结果，结合单位实际情况，制订具有针对性的安全整改</w:t>
      </w:r>
      <w:r>
        <w:rPr>
          <w:rFonts w:hint="eastAsia" w:ascii="仿宋" w:hAnsi="仿宋" w:eastAsia="仿宋" w:cs="仿宋"/>
          <w:color w:val="666666"/>
          <w:shd w:val="clear" w:color="auto" w:fill="FFFFFF"/>
        </w:rPr>
        <w:t>方案</w:t>
      </w:r>
      <w:r>
        <w:rPr>
          <w:rFonts w:ascii="仿宋" w:hAnsi="仿宋" w:eastAsia="仿宋" w:cs="仿宋"/>
          <w:color w:val="666666"/>
          <w:shd w:val="clear" w:color="auto" w:fill="FFFFFF"/>
        </w:rPr>
        <w:t>，通过安全整改提高系统的整体网络安全保护水平，达到等级保护二级基本符合的标准。</w:t>
      </w:r>
    </w:p>
    <w:p w14:paraId="5268B9E8">
      <w:pPr>
        <w:pStyle w:val="6"/>
        <w:widowControl/>
        <w:numPr>
          <w:ilvl w:val="255"/>
          <w:numId w:val="0"/>
        </w:numPr>
        <w:spacing w:beforeAutospacing="0" w:afterAutospacing="0" w:line="360" w:lineRule="auto"/>
        <w:jc w:val="both"/>
      </w:pPr>
      <w:r>
        <w:rPr>
          <w:rFonts w:ascii="仿宋" w:hAnsi="仿宋" w:eastAsia="仿宋" w:cs="仿宋"/>
        </w:rPr>
        <w:t>技术指标</w:t>
      </w:r>
    </w:p>
    <w:p w14:paraId="3307864E">
      <w:pPr>
        <w:pStyle w:val="11"/>
        <w:spacing w:line="360" w:lineRule="auto"/>
        <w:ind w:firstLine="0" w:firstLineChars="0"/>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等级保护测评服务要求：（包含但不仅限与以下交付物）</w:t>
      </w:r>
    </w:p>
    <w:p w14:paraId="7F982F04">
      <w:pPr>
        <w:pStyle w:val="11"/>
        <w:numPr>
          <w:ilvl w:val="0"/>
          <w:numId w:val="3"/>
        </w:numPr>
        <w:spacing w:line="360" w:lineRule="auto"/>
        <w:ind w:left="0" w:firstLine="0" w:firstLineChars="0"/>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定级备案：依据《信息安全技术</w:t>
      </w:r>
      <w:r>
        <w:rPr>
          <w:rFonts w:ascii="仿宋" w:hAnsi="仿宋" w:eastAsia="仿宋" w:cs="仿宋"/>
          <w:color w:val="666666"/>
          <w:sz w:val="24"/>
          <w:shd w:val="clear" w:color="auto" w:fill="FFFFFF"/>
        </w:rPr>
        <w:t xml:space="preserve"> </w:t>
      </w:r>
      <w:r>
        <w:rPr>
          <w:rFonts w:hint="eastAsia" w:ascii="仿宋" w:hAnsi="仿宋" w:eastAsia="仿宋" w:cs="仿宋"/>
          <w:color w:val="666666"/>
          <w:sz w:val="24"/>
          <w:shd w:val="clear" w:color="auto" w:fill="FFFFFF"/>
        </w:rPr>
        <w:t>网络安全等级保护定级指南》（</w:t>
      </w:r>
      <w:r>
        <w:rPr>
          <w:rFonts w:ascii="仿宋" w:hAnsi="仿宋" w:eastAsia="仿宋" w:cs="仿宋"/>
          <w:color w:val="666666"/>
          <w:sz w:val="24"/>
          <w:shd w:val="clear" w:color="auto" w:fill="FFFFFF"/>
        </w:rPr>
        <w:t>GB/T 22240-2020</w:t>
      </w:r>
      <w:r>
        <w:rPr>
          <w:rFonts w:hint="eastAsia" w:ascii="仿宋" w:hAnsi="仿宋" w:eastAsia="仿宋" w:cs="仿宋"/>
          <w:color w:val="666666"/>
          <w:sz w:val="24"/>
          <w:shd w:val="clear" w:color="auto" w:fill="FFFFFF"/>
        </w:rPr>
        <w:t>），协助应用系统责任部门填写《定级报告》和《备案表》，保证《定级报告》和《备案表》符合评审要求，最终通过相关部门的审核。</w:t>
      </w:r>
    </w:p>
    <w:p w14:paraId="20EB7FEA">
      <w:pPr>
        <w:pStyle w:val="11"/>
        <w:numPr>
          <w:ilvl w:val="0"/>
          <w:numId w:val="3"/>
        </w:numPr>
        <w:spacing w:line="360" w:lineRule="auto"/>
        <w:ind w:left="0" w:firstLine="0" w:firstLineChars="0"/>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差距分析：依据《信息安全技术</w:t>
      </w:r>
      <w:r>
        <w:rPr>
          <w:rFonts w:ascii="仿宋" w:hAnsi="仿宋" w:eastAsia="仿宋" w:cs="仿宋"/>
          <w:color w:val="666666"/>
          <w:sz w:val="24"/>
          <w:shd w:val="clear" w:color="auto" w:fill="FFFFFF"/>
        </w:rPr>
        <w:t xml:space="preserve"> </w:t>
      </w:r>
      <w:r>
        <w:rPr>
          <w:rFonts w:hint="eastAsia" w:ascii="仿宋" w:hAnsi="仿宋" w:eastAsia="仿宋" w:cs="仿宋"/>
          <w:color w:val="666666"/>
          <w:sz w:val="24"/>
          <w:shd w:val="clear" w:color="auto" w:fill="FFFFFF"/>
        </w:rPr>
        <w:t>网络安全等级保护基本要求》</w:t>
      </w:r>
      <w:r>
        <w:rPr>
          <w:rFonts w:ascii="仿宋" w:hAnsi="仿宋" w:eastAsia="仿宋" w:cs="仿宋"/>
          <w:color w:val="666666"/>
          <w:sz w:val="24"/>
          <w:shd w:val="clear" w:color="auto" w:fill="FFFFFF"/>
        </w:rPr>
        <w:t xml:space="preserve"> </w:t>
      </w:r>
      <w:r>
        <w:rPr>
          <w:rFonts w:hint="eastAsia" w:ascii="仿宋" w:hAnsi="仿宋" w:eastAsia="仿宋" w:cs="仿宋"/>
          <w:color w:val="666666"/>
          <w:sz w:val="24"/>
          <w:shd w:val="clear" w:color="auto" w:fill="FFFFFF"/>
        </w:rPr>
        <w:t>（</w:t>
      </w:r>
      <w:r>
        <w:rPr>
          <w:rFonts w:ascii="仿宋" w:hAnsi="仿宋" w:eastAsia="仿宋" w:cs="仿宋"/>
          <w:color w:val="666666"/>
          <w:sz w:val="24"/>
          <w:shd w:val="clear" w:color="auto" w:fill="FFFFFF"/>
        </w:rPr>
        <w:t>GB/T 22239-2019</w:t>
      </w:r>
      <w:r>
        <w:rPr>
          <w:rFonts w:hint="eastAsia" w:ascii="仿宋" w:hAnsi="仿宋" w:eastAsia="仿宋" w:cs="仿宋"/>
          <w:color w:val="666666"/>
          <w:sz w:val="24"/>
          <w:shd w:val="clear" w:color="auto" w:fill="FFFFFF"/>
        </w:rPr>
        <w:t>）与信息系统定级结果对信息系统从安全物理环境、安全通信网络、安全区域边界、安全计算环境、安全管理中心、安全管理制度、安全管理机构、安全人员管理、安全建设管理、安全运维管理等</w:t>
      </w:r>
      <w:r>
        <w:rPr>
          <w:rFonts w:ascii="仿宋" w:hAnsi="仿宋" w:eastAsia="仿宋" w:cs="仿宋"/>
          <w:color w:val="666666"/>
          <w:sz w:val="24"/>
          <w:shd w:val="clear" w:color="auto" w:fill="FFFFFF"/>
        </w:rPr>
        <w:t>10</w:t>
      </w:r>
      <w:r>
        <w:rPr>
          <w:rFonts w:hint="eastAsia" w:ascii="仿宋" w:hAnsi="仿宋" w:eastAsia="仿宋" w:cs="仿宋"/>
          <w:color w:val="666666"/>
          <w:sz w:val="24"/>
          <w:shd w:val="clear" w:color="auto" w:fill="FFFFFF"/>
        </w:rPr>
        <w:t>个层面进行分析，明确信息系统与等级保护第二系统基本要求之间的差距，并形成差距分析报告。</w:t>
      </w:r>
    </w:p>
    <w:p w14:paraId="25005410">
      <w:pPr>
        <w:pStyle w:val="11"/>
        <w:numPr>
          <w:ilvl w:val="0"/>
          <w:numId w:val="3"/>
        </w:numPr>
        <w:spacing w:line="360" w:lineRule="auto"/>
        <w:ind w:left="0" w:firstLine="0" w:firstLineChars="0"/>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系统安全整改：根据差距分析报告中提出的问题，协助采购方完成整改方案的设计，指导采购方进行整改。</w:t>
      </w:r>
    </w:p>
    <w:p w14:paraId="29F183E5">
      <w:pPr>
        <w:pStyle w:val="11"/>
        <w:numPr>
          <w:ilvl w:val="0"/>
          <w:numId w:val="3"/>
        </w:numPr>
        <w:spacing w:line="360" w:lineRule="auto"/>
        <w:ind w:left="0" w:firstLine="0" w:firstLineChars="0"/>
        <w:rPr>
          <w:rFonts w:ascii="仿宋" w:hAnsi="仿宋" w:eastAsia="仿宋" w:cs="仿宋"/>
          <w:color w:val="666666"/>
          <w:sz w:val="24"/>
          <w:shd w:val="clear" w:color="auto" w:fill="FFFFFF"/>
        </w:rPr>
      </w:pPr>
      <w:r>
        <w:rPr>
          <w:rFonts w:hint="eastAsia" w:ascii="仿宋" w:hAnsi="仿宋" w:eastAsia="仿宋" w:cs="仿宋"/>
          <w:color w:val="666666"/>
          <w:sz w:val="24"/>
          <w:shd w:val="clear" w:color="auto" w:fill="FFFFFF"/>
        </w:rPr>
        <w:t>网络安全等级保护测评：按照《信息安全技术</w:t>
      </w:r>
      <w:r>
        <w:rPr>
          <w:rFonts w:ascii="仿宋" w:hAnsi="仿宋" w:eastAsia="仿宋" w:cs="仿宋"/>
          <w:color w:val="666666"/>
          <w:sz w:val="24"/>
          <w:shd w:val="clear" w:color="auto" w:fill="FFFFFF"/>
        </w:rPr>
        <w:t xml:space="preserve"> </w:t>
      </w:r>
      <w:r>
        <w:rPr>
          <w:rFonts w:hint="eastAsia" w:ascii="仿宋" w:hAnsi="仿宋" w:eastAsia="仿宋" w:cs="仿宋"/>
          <w:color w:val="666666"/>
          <w:sz w:val="24"/>
          <w:shd w:val="clear" w:color="auto" w:fill="FFFFFF"/>
        </w:rPr>
        <w:t>网络安全等级保护测评要求》（</w:t>
      </w:r>
      <w:r>
        <w:rPr>
          <w:rFonts w:ascii="仿宋" w:hAnsi="仿宋" w:eastAsia="仿宋" w:cs="仿宋"/>
          <w:color w:val="666666"/>
          <w:sz w:val="24"/>
          <w:shd w:val="clear" w:color="auto" w:fill="FFFFFF"/>
        </w:rPr>
        <w:t>GB/T 28448-2019</w:t>
      </w:r>
      <w:r>
        <w:rPr>
          <w:rFonts w:hint="eastAsia" w:ascii="仿宋" w:hAnsi="仿宋" w:eastAsia="仿宋" w:cs="仿宋"/>
          <w:color w:val="666666"/>
          <w:sz w:val="24"/>
          <w:shd w:val="clear" w:color="auto" w:fill="FFFFFF"/>
        </w:rPr>
        <w:t>）对备案的应用系统开展网络安全等级保护测评，测评交付物应包括《网络安全等级保护差距分析报告》、《网络安全等级保护整改建议》、《网络安全等级保护测评报告》。</w:t>
      </w:r>
    </w:p>
    <w:p w14:paraId="2B20CB8C">
      <w:pPr>
        <w:pStyle w:val="11"/>
        <w:spacing w:line="360" w:lineRule="auto"/>
        <w:ind w:firstLine="0" w:firstLineChars="0"/>
        <w:rPr>
          <w:rFonts w:hint="eastAsia" w:ascii="仿宋" w:hAnsi="仿宋" w:eastAsia="仿宋" w:cs="仿宋"/>
          <w:color w:val="666666"/>
          <w:sz w:val="24"/>
          <w:shd w:val="clear" w:color="auto" w:fill="FFFFFF"/>
          <w:lang w:eastAsia="zh-CN"/>
        </w:rPr>
      </w:pPr>
      <w:r>
        <w:rPr>
          <w:rFonts w:hint="eastAsia" w:ascii="仿宋" w:hAnsi="仿宋" w:eastAsia="仿宋" w:cs="仿宋"/>
          <w:color w:val="666666"/>
          <w:sz w:val="24"/>
          <w:shd w:val="clear" w:color="auto" w:fill="FFFFFF"/>
          <w:lang w:eastAsia="zh-CN"/>
        </w:rPr>
        <w:t>安全培训</w:t>
      </w:r>
    </w:p>
    <w:p w14:paraId="123E6791">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666666"/>
          <w:kern w:val="2"/>
          <w:sz w:val="24"/>
          <w:szCs w:val="24"/>
          <w:shd w:val="clear" w:color="auto" w:fill="FFFFFF"/>
          <w:lang w:val="en-US" w:eastAsia="zh-CN" w:bidi="ar-SA"/>
        </w:rPr>
      </w:pPr>
      <w:r>
        <w:rPr>
          <w:rFonts w:hint="eastAsia" w:ascii="仿宋" w:hAnsi="仿宋" w:eastAsia="仿宋" w:cs="仿宋"/>
          <w:color w:val="666666"/>
          <w:kern w:val="2"/>
          <w:sz w:val="24"/>
          <w:szCs w:val="24"/>
          <w:shd w:val="clear" w:color="auto" w:fill="FFFFFF"/>
          <w:lang w:val="en-US" w:eastAsia="zh-CN" w:bidi="ar-SA"/>
        </w:rPr>
        <w:t>安全培训工作主要针对北京协和医学院全体人员，服务期内1次。</w:t>
      </w:r>
    </w:p>
    <w:p w14:paraId="2F8F437E">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666666"/>
          <w:kern w:val="2"/>
          <w:sz w:val="24"/>
          <w:szCs w:val="24"/>
          <w:shd w:val="clear" w:color="auto" w:fill="FFFFFF"/>
          <w:lang w:val="en-US" w:eastAsia="zh-CN" w:bidi="ar-SA"/>
        </w:rPr>
      </w:pPr>
      <w:r>
        <w:rPr>
          <w:rFonts w:hint="eastAsia" w:ascii="仿宋" w:hAnsi="仿宋" w:eastAsia="仿宋" w:cs="仿宋"/>
          <w:color w:val="666666"/>
          <w:kern w:val="2"/>
          <w:sz w:val="24"/>
          <w:szCs w:val="24"/>
          <w:shd w:val="clear" w:color="auto" w:fill="FFFFFF"/>
          <w:lang w:val="en-US" w:eastAsia="zh-CN" w:bidi="ar-SA"/>
        </w:rPr>
        <w:t>安全培训针对北京协和医学院整体网络安全工作。对采购人主要人员（包括信息系统使用者、管理人员等）提供相应的安全保护意识培训及法律法规解读服务，提升人员应对网络安全威胁能力和保护、防范信息系统安全的意识。</w:t>
      </w:r>
    </w:p>
    <w:p w14:paraId="136FBE1D">
      <w:pPr>
        <w:keepNext w:val="0"/>
        <w:keepLines w:val="0"/>
        <w:widowControl w:val="0"/>
        <w:suppressLineNumbers w:val="0"/>
        <w:spacing w:before="0" w:beforeAutospacing="0" w:after="0" w:afterAutospacing="0" w:line="360" w:lineRule="auto"/>
        <w:ind w:left="0" w:right="0" w:firstLine="480" w:firstLineChars="200"/>
        <w:jc w:val="both"/>
        <w:rPr>
          <w:rFonts w:hint="eastAsia" w:ascii="仿宋" w:hAnsi="仿宋" w:eastAsia="仿宋" w:cs="仿宋"/>
          <w:color w:val="666666"/>
          <w:kern w:val="2"/>
          <w:sz w:val="24"/>
          <w:szCs w:val="24"/>
          <w:shd w:val="clear" w:color="auto" w:fill="FFFFFF"/>
          <w:lang w:val="en-US" w:eastAsia="zh-CN" w:bidi="ar-SA"/>
        </w:rPr>
      </w:pPr>
      <w:r>
        <w:rPr>
          <w:rFonts w:hint="eastAsia" w:ascii="仿宋" w:hAnsi="仿宋" w:eastAsia="仿宋" w:cs="仿宋"/>
          <w:color w:val="666666"/>
          <w:kern w:val="2"/>
          <w:sz w:val="24"/>
          <w:szCs w:val="24"/>
          <w:shd w:val="clear" w:color="auto" w:fill="FFFFFF"/>
          <w:lang w:val="en-US" w:eastAsia="zh-CN" w:bidi="ar-SA"/>
        </w:rPr>
        <w:t>为采购人技术人员提供相关知识的培训，提高员工对网络安全管理体系的理解和认知，使技术人员掌握网络安全设备的工作原理和技术性能，设备测试、故障诊断和排除、远程监控，熟练对设备进行维护配置操作，设备定期维护、使用及管理。能进行策略制定、策略编写，使其与信息管理体系中的策略、控制措施等结合，以便在日常的系统运维过程中贯彻信息安全管理体系的相关要求。</w:t>
      </w:r>
    </w:p>
    <w:p w14:paraId="623964C3">
      <w:pPr>
        <w:pStyle w:val="6"/>
        <w:widowControl/>
        <w:numPr>
          <w:ilvl w:val="255"/>
          <w:numId w:val="0"/>
        </w:numPr>
        <w:spacing w:beforeAutospacing="0" w:afterAutospacing="0" w:line="360" w:lineRule="auto"/>
        <w:jc w:val="both"/>
        <w:rPr>
          <w:rFonts w:ascii="仿宋" w:hAnsi="仿宋" w:eastAsia="仿宋" w:cs="仿宋"/>
          <w:color w:val="666666"/>
          <w:kern w:val="2"/>
          <w:sz w:val="24"/>
          <w:szCs w:val="24"/>
          <w:shd w:val="clear" w:color="auto" w:fill="FFFFFF"/>
          <w:lang w:val="en-US" w:eastAsia="zh-CN" w:bidi="ar-SA"/>
        </w:rPr>
      </w:pPr>
    </w:p>
    <w:p w14:paraId="06367215">
      <w:pPr>
        <w:pStyle w:val="6"/>
        <w:widowControl/>
        <w:numPr>
          <w:ilvl w:val="0"/>
          <w:numId w:val="2"/>
        </w:numPr>
        <w:spacing w:beforeAutospacing="0" w:afterAutospacing="0" w:line="360" w:lineRule="auto"/>
        <w:jc w:val="both"/>
      </w:pPr>
      <w:r>
        <w:rPr>
          <w:rFonts w:ascii="仿宋" w:hAnsi="仿宋" w:eastAsia="仿宋" w:cs="仿宋"/>
          <w:color w:val="666666"/>
          <w:shd w:val="clear" w:color="auto" w:fill="FFFFFF"/>
        </w:rPr>
        <w:t>项目周期</w:t>
      </w:r>
    </w:p>
    <w:p w14:paraId="3A39640C">
      <w:pPr>
        <w:pStyle w:val="6"/>
        <w:widowControl/>
        <w:spacing w:beforeAutospacing="0" w:afterAutospacing="0" w:line="360" w:lineRule="auto"/>
        <w:jc w:val="both"/>
      </w:pPr>
      <w:r>
        <w:rPr>
          <w:rFonts w:ascii="仿宋" w:hAnsi="仿宋" w:eastAsia="仿宋" w:cs="仿宋"/>
          <w:color w:val="666666"/>
          <w:shd w:val="clear" w:color="auto" w:fill="FFFFFF"/>
        </w:rPr>
        <w:t>拟计划</w:t>
      </w:r>
      <w:r>
        <w:rPr>
          <w:rFonts w:hint="eastAsia" w:ascii="仿宋" w:hAnsi="仿宋" w:eastAsia="仿宋" w:cs="仿宋"/>
          <w:color w:val="262626" w:themeColor="text1" w:themeTint="D9"/>
          <w:shd w:val="clear" w:color="auto" w:fill="FFFFFF"/>
          <w:lang w:val="en-US" w:eastAsia="zh-CN"/>
          <w14:textFill>
            <w14:solidFill>
              <w14:schemeClr w14:val="tx1">
                <w14:lumMod w14:val="85000"/>
                <w14:lumOff w14:val="15000"/>
              </w14:schemeClr>
            </w14:solidFill>
          </w14:textFill>
        </w:rPr>
        <w:t>4</w:t>
      </w:r>
      <w:r>
        <w:rPr>
          <w:rFonts w:ascii="仿宋" w:hAnsi="仿宋" w:eastAsia="仿宋" w:cs="仿宋"/>
          <w:color w:val="262626" w:themeColor="text1" w:themeTint="D9"/>
          <w:shd w:val="clear" w:color="auto" w:fill="FFFFFF"/>
          <w14:textFill>
            <w14:solidFill>
              <w14:schemeClr w14:val="tx1">
                <w14:lumMod w14:val="85000"/>
                <w14:lumOff w14:val="15000"/>
              </w14:schemeClr>
            </w14:solidFill>
          </w14:textFill>
        </w:rPr>
        <w:t>个月</w:t>
      </w:r>
      <w:r>
        <w:rPr>
          <w:rFonts w:ascii="仿宋" w:hAnsi="仿宋" w:eastAsia="仿宋" w:cs="仿宋"/>
          <w:color w:val="666666"/>
          <w:shd w:val="clear" w:color="auto" w:fill="FFFFFF"/>
        </w:rPr>
        <w:t>，包含</w:t>
      </w:r>
      <w:r>
        <w:rPr>
          <w:rFonts w:hint="eastAsia" w:ascii="仿宋" w:hAnsi="仿宋" w:eastAsia="仿宋" w:cs="仿宋"/>
          <w:color w:val="666666"/>
          <w:shd w:val="clear" w:color="auto" w:fill="FFFFFF"/>
        </w:rPr>
        <w:t>系统定级、系统备案、系统差距测评、</w:t>
      </w:r>
      <w:r>
        <w:rPr>
          <w:rFonts w:ascii="仿宋" w:hAnsi="仿宋" w:eastAsia="仿宋" w:cs="仿宋"/>
          <w:color w:val="666666"/>
          <w:shd w:val="clear" w:color="auto" w:fill="FFFFFF"/>
        </w:rPr>
        <w:t>等保测评、漏洞扫描等工作。</w:t>
      </w:r>
    </w:p>
    <w:p w14:paraId="24A52016">
      <w:pPr>
        <w:keepNext/>
        <w:keepLines/>
        <w:numPr>
          <w:ilvl w:val="0"/>
          <w:numId w:val="1"/>
        </w:numPr>
        <w:spacing w:before="260" w:after="260" w:line="416" w:lineRule="auto"/>
        <w:outlineLvl w:val="1"/>
        <w:rPr>
          <w:rFonts w:ascii="宋体" w:hAnsi="宋体" w:eastAsia="宋体" w:cs="Times New Roman"/>
          <w:b/>
          <w:bCs/>
          <w:sz w:val="28"/>
          <w:szCs w:val="28"/>
        </w:rPr>
      </w:pPr>
      <w:r>
        <w:rPr>
          <w:rFonts w:hint="eastAsia" w:ascii="宋体" w:hAnsi="宋体" w:eastAsia="宋体" w:cs="Times New Roman"/>
          <w:b/>
          <w:bCs/>
          <w:sz w:val="28"/>
          <w:szCs w:val="28"/>
        </w:rPr>
        <w:t>投标人须知</w:t>
      </w:r>
    </w:p>
    <w:p w14:paraId="4E8A3077">
      <w:pPr>
        <w:pStyle w:val="6"/>
        <w:widowControl/>
        <w:spacing w:beforeAutospacing="0" w:afterAutospacing="0" w:line="360" w:lineRule="auto"/>
        <w:ind w:firstLine="420"/>
        <w:jc w:val="both"/>
        <w:rPr>
          <w:rFonts w:ascii="仿宋" w:hAnsi="仿宋" w:eastAsia="仿宋" w:cs="仿宋"/>
          <w:color w:val="666666"/>
          <w:shd w:val="clear" w:color="auto" w:fill="FFFFFF"/>
        </w:rPr>
      </w:pPr>
      <w:r>
        <w:rPr>
          <w:rFonts w:ascii="仿宋" w:hAnsi="仿宋" w:eastAsia="仿宋" w:cs="仿宋"/>
          <w:color w:val="666666"/>
          <w:shd w:val="clear" w:color="auto" w:fill="FFFFFF"/>
        </w:rPr>
        <w:t>本表是对投标人须知的具体补充和修改，如有矛盾，均以本资料表为准。标记“■”的选项意为适用于本项目，标记“□”的选项意为不适用于本项目。</w:t>
      </w:r>
    </w:p>
    <w:tbl>
      <w:tblPr>
        <w:tblStyle w:val="8"/>
        <w:tblW w:w="8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5866"/>
      </w:tblGrid>
      <w:tr w14:paraId="6A59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6490D21C">
            <w:pPr>
              <w:keepNext w:val="0"/>
              <w:keepLines w:val="0"/>
              <w:suppressLineNumbers w:val="0"/>
              <w:spacing w:before="0" w:beforeAutospacing="0" w:after="0" w:afterAutospacing="0"/>
              <w:ind w:left="0" w:right="0"/>
              <w:jc w:val="center"/>
              <w:rPr>
                <w:rFonts w:hint="default" w:ascii="仿宋" w:hAnsi="仿宋" w:eastAsia="仿宋" w:cs="仿宋"/>
                <w:b/>
                <w:bCs/>
                <w:sz w:val="24"/>
              </w:rPr>
            </w:pPr>
            <w:r>
              <w:rPr>
                <w:rFonts w:hint="eastAsia" w:ascii="仿宋" w:hAnsi="仿宋" w:eastAsia="仿宋" w:cs="仿宋"/>
                <w:b/>
                <w:sz w:val="24"/>
              </w:rPr>
              <w:t>条款号</w:t>
            </w:r>
          </w:p>
        </w:tc>
        <w:tc>
          <w:tcPr>
            <w:tcW w:w="1701" w:type="dxa"/>
            <w:vAlign w:val="center"/>
          </w:tcPr>
          <w:p w14:paraId="1B4B0ACB">
            <w:pPr>
              <w:keepNext w:val="0"/>
              <w:keepLines w:val="0"/>
              <w:suppressLineNumbers w:val="0"/>
              <w:spacing w:before="0" w:beforeAutospacing="0" w:after="0" w:afterAutospacing="0"/>
              <w:ind w:left="0" w:right="0"/>
              <w:jc w:val="center"/>
              <w:rPr>
                <w:rFonts w:hint="default" w:ascii="仿宋" w:hAnsi="仿宋" w:eastAsia="仿宋" w:cs="仿宋"/>
                <w:b/>
                <w:bCs/>
                <w:sz w:val="24"/>
              </w:rPr>
            </w:pPr>
            <w:r>
              <w:rPr>
                <w:rFonts w:hint="eastAsia" w:ascii="仿宋" w:hAnsi="仿宋" w:eastAsia="仿宋" w:cs="仿宋"/>
                <w:b/>
                <w:bCs/>
                <w:sz w:val="24"/>
              </w:rPr>
              <w:t>条目</w:t>
            </w:r>
          </w:p>
        </w:tc>
        <w:tc>
          <w:tcPr>
            <w:tcW w:w="5866" w:type="dxa"/>
            <w:vAlign w:val="center"/>
          </w:tcPr>
          <w:p w14:paraId="799C42B2">
            <w:pPr>
              <w:keepNext w:val="0"/>
              <w:keepLines w:val="0"/>
              <w:suppressLineNumbers w:val="0"/>
              <w:spacing w:before="0" w:beforeAutospacing="0" w:after="0" w:afterAutospacing="0"/>
              <w:ind w:left="0" w:right="0"/>
              <w:jc w:val="center"/>
              <w:rPr>
                <w:rFonts w:hint="default" w:ascii="仿宋" w:hAnsi="仿宋" w:eastAsia="仿宋" w:cs="仿宋"/>
                <w:b/>
                <w:bCs/>
                <w:sz w:val="24"/>
              </w:rPr>
            </w:pPr>
            <w:r>
              <w:rPr>
                <w:rFonts w:hint="eastAsia" w:ascii="仿宋" w:hAnsi="仿宋" w:eastAsia="仿宋" w:cs="仿宋"/>
                <w:b/>
                <w:bCs/>
                <w:sz w:val="24"/>
              </w:rPr>
              <w:t>内容</w:t>
            </w:r>
          </w:p>
        </w:tc>
      </w:tr>
      <w:tr w14:paraId="6CF4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706CF4">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2.2</w:t>
            </w:r>
          </w:p>
        </w:tc>
        <w:tc>
          <w:tcPr>
            <w:tcW w:w="1701" w:type="dxa"/>
            <w:vAlign w:val="center"/>
          </w:tcPr>
          <w:p w14:paraId="1F634F8E">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项目属性</w:t>
            </w:r>
          </w:p>
        </w:tc>
        <w:tc>
          <w:tcPr>
            <w:tcW w:w="5866" w:type="dxa"/>
            <w:vAlign w:val="center"/>
          </w:tcPr>
          <w:p w14:paraId="736BE8C9">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项目属性：</w:t>
            </w:r>
          </w:p>
          <w:p w14:paraId="3D5C6FD0">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■服务</w:t>
            </w:r>
          </w:p>
          <w:p w14:paraId="09FB1321">
            <w:pPr>
              <w:keepNext w:val="0"/>
              <w:keepLines w:val="0"/>
              <w:suppressLineNumbers w:val="0"/>
              <w:spacing w:before="0" w:beforeAutospacing="0" w:after="0" w:afterAutospacing="0"/>
              <w:ind w:left="0" w:right="0"/>
              <w:jc w:val="left"/>
              <w:rPr>
                <w:rFonts w:hint="default" w:ascii="仿宋" w:hAnsi="仿宋" w:eastAsia="仿宋" w:cs="仿宋"/>
                <w:sz w:val="24"/>
                <w:u w:val="single"/>
              </w:rPr>
            </w:pPr>
            <w:r>
              <w:rPr>
                <w:rFonts w:hint="eastAsia" w:ascii="仿宋" w:hAnsi="仿宋" w:eastAsia="仿宋" w:cs="仿宋"/>
                <w:sz w:val="24"/>
              </w:rPr>
              <w:t>□货物</w:t>
            </w:r>
          </w:p>
        </w:tc>
      </w:tr>
      <w:tr w14:paraId="0D24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4C769A">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2.3</w:t>
            </w:r>
          </w:p>
        </w:tc>
        <w:tc>
          <w:tcPr>
            <w:tcW w:w="1701" w:type="dxa"/>
            <w:vAlign w:val="center"/>
          </w:tcPr>
          <w:p w14:paraId="015F9BBF">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科研仪器设备</w:t>
            </w:r>
          </w:p>
        </w:tc>
        <w:tc>
          <w:tcPr>
            <w:tcW w:w="5866" w:type="dxa"/>
            <w:vAlign w:val="center"/>
          </w:tcPr>
          <w:p w14:paraId="00C964FE">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是否属于科研仪器设备采购项目：</w:t>
            </w:r>
          </w:p>
          <w:p w14:paraId="5FC27CA8">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□是</w:t>
            </w:r>
          </w:p>
          <w:p w14:paraId="5A98F067">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■否</w:t>
            </w:r>
          </w:p>
        </w:tc>
      </w:tr>
      <w:tr w14:paraId="67AB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121D6D">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2.4</w:t>
            </w:r>
          </w:p>
        </w:tc>
        <w:tc>
          <w:tcPr>
            <w:tcW w:w="1701" w:type="dxa"/>
            <w:vAlign w:val="center"/>
          </w:tcPr>
          <w:p w14:paraId="2FFBED58">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核心产品</w:t>
            </w:r>
          </w:p>
        </w:tc>
        <w:tc>
          <w:tcPr>
            <w:tcW w:w="5866" w:type="dxa"/>
            <w:vAlign w:val="center"/>
          </w:tcPr>
          <w:p w14:paraId="4604266F">
            <w:pPr>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■关于核心产品本项目</w:t>
            </w:r>
            <w:r>
              <w:rPr>
                <w:rFonts w:hint="eastAsia" w:ascii="仿宋" w:hAnsi="仿宋" w:eastAsia="仿宋" w:cs="仿宋"/>
                <w:sz w:val="24"/>
                <w:u w:val="single"/>
              </w:rPr>
              <w:t xml:space="preserve"> / </w:t>
            </w:r>
            <w:r>
              <w:rPr>
                <w:rFonts w:hint="eastAsia" w:ascii="仿宋" w:hAnsi="仿宋" w:eastAsia="仿宋" w:cs="仿宋"/>
                <w:sz w:val="24"/>
              </w:rPr>
              <w:t>包不适用。</w:t>
            </w:r>
          </w:p>
          <w:p w14:paraId="148CC8C9">
            <w:pPr>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□本项目__包为单一产品采购项目。</w:t>
            </w:r>
          </w:p>
          <w:p w14:paraId="7DA3239E">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□本项目__包为非单一产品采购项目，核心产品为：____。</w:t>
            </w:r>
          </w:p>
        </w:tc>
      </w:tr>
      <w:tr w14:paraId="5A373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DDF3F57">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．5</w:t>
            </w:r>
          </w:p>
        </w:tc>
        <w:tc>
          <w:tcPr>
            <w:tcW w:w="1701" w:type="dxa"/>
            <w:vAlign w:val="center"/>
          </w:tcPr>
          <w:p w14:paraId="0ACA198B">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现场考察</w:t>
            </w:r>
          </w:p>
        </w:tc>
        <w:tc>
          <w:tcPr>
            <w:tcW w:w="5866" w:type="dxa"/>
            <w:vAlign w:val="center"/>
          </w:tcPr>
          <w:p w14:paraId="3B6997BA">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■不组织</w:t>
            </w:r>
          </w:p>
          <w:p w14:paraId="0D42B86B">
            <w:pPr>
              <w:keepNext w:val="0"/>
              <w:keepLines w:val="0"/>
              <w:suppressLineNumbers w:val="0"/>
              <w:spacing w:before="0" w:beforeAutospacing="0" w:after="0" w:afterAutospacing="0"/>
              <w:ind w:left="0" w:right="0"/>
              <w:jc w:val="left"/>
              <w:rPr>
                <w:rFonts w:hint="default" w:ascii="仿宋" w:hAnsi="仿宋" w:eastAsia="仿宋" w:cs="仿宋"/>
                <w:bCs/>
                <w:sz w:val="24"/>
              </w:rPr>
            </w:pPr>
            <w:r>
              <w:rPr>
                <w:rFonts w:hint="eastAsia" w:ascii="仿宋" w:hAnsi="仿宋" w:eastAsia="仿宋" w:cs="仿宋"/>
                <w:sz w:val="24"/>
              </w:rPr>
              <w:t>□组织，考察时间：__年_月_日_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75813145">
            <w:pPr>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考察地点：____________。</w:t>
            </w:r>
          </w:p>
        </w:tc>
      </w:tr>
      <w:tr w14:paraId="4493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8A8D8D4">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p>
        </w:tc>
        <w:tc>
          <w:tcPr>
            <w:tcW w:w="1701" w:type="dxa"/>
            <w:vAlign w:val="center"/>
          </w:tcPr>
          <w:p w14:paraId="33498825">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开标前答疑会</w:t>
            </w:r>
          </w:p>
        </w:tc>
        <w:tc>
          <w:tcPr>
            <w:tcW w:w="5866" w:type="dxa"/>
            <w:vAlign w:val="center"/>
          </w:tcPr>
          <w:p w14:paraId="7D71AECC">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■不召开</w:t>
            </w:r>
          </w:p>
          <w:p w14:paraId="7BF3A046">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□召开，召开时间：__年_月_日_</w:t>
            </w:r>
            <w:r>
              <w:rPr>
                <w:rFonts w:hint="eastAsia" w:ascii="仿宋" w:hAnsi="仿宋" w:eastAsia="仿宋" w:cs="仿宋"/>
                <w:bCs/>
                <w:sz w:val="24"/>
              </w:rPr>
              <w:t>点</w:t>
            </w:r>
            <w:r>
              <w:rPr>
                <w:rFonts w:hint="eastAsia" w:ascii="仿宋" w:hAnsi="仿宋" w:eastAsia="仿宋" w:cs="仿宋"/>
                <w:sz w:val="24"/>
              </w:rPr>
              <w:t>_</w:t>
            </w:r>
            <w:r>
              <w:rPr>
                <w:rFonts w:hint="eastAsia" w:ascii="仿宋" w:hAnsi="仿宋" w:eastAsia="仿宋" w:cs="仿宋"/>
                <w:bCs/>
                <w:sz w:val="24"/>
              </w:rPr>
              <w:t>分</w:t>
            </w:r>
          </w:p>
          <w:p w14:paraId="5F782C9D">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召开地点：____________。</w:t>
            </w:r>
          </w:p>
        </w:tc>
      </w:tr>
      <w:tr w14:paraId="0642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D0D37A">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．6</w:t>
            </w:r>
          </w:p>
        </w:tc>
        <w:tc>
          <w:tcPr>
            <w:tcW w:w="1701" w:type="dxa"/>
            <w:vAlign w:val="center"/>
          </w:tcPr>
          <w:p w14:paraId="5A8A27E5">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样品</w:t>
            </w:r>
          </w:p>
        </w:tc>
        <w:tc>
          <w:tcPr>
            <w:tcW w:w="5866" w:type="dxa"/>
            <w:vAlign w:val="center"/>
          </w:tcPr>
          <w:p w14:paraId="7E3B2054">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投标样品递交：</w:t>
            </w:r>
          </w:p>
          <w:p w14:paraId="00B5B603">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■不需要</w:t>
            </w:r>
          </w:p>
          <w:p w14:paraId="0D577518">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□需要，具体要求如下：</w:t>
            </w:r>
          </w:p>
          <w:p w14:paraId="28A3A30A">
            <w:pPr>
              <w:keepNext w:val="0"/>
              <w:keepLines w:val="0"/>
              <w:suppressLineNumbers w:val="0"/>
              <w:spacing w:before="0" w:beforeAutospacing="0" w:after="0" w:afterAutospacing="0"/>
              <w:ind w:left="0" w:right="0"/>
              <w:jc w:val="left"/>
              <w:rPr>
                <w:rFonts w:hint="default" w:ascii="仿宋" w:hAnsi="仿宋" w:eastAsia="仿宋" w:cs="仿宋"/>
                <w:sz w:val="24"/>
                <w:u w:val="single"/>
              </w:rPr>
            </w:pPr>
            <w:r>
              <w:rPr>
                <w:rFonts w:hint="eastAsia" w:ascii="仿宋" w:hAnsi="仿宋" w:eastAsia="仿宋" w:cs="仿宋"/>
                <w:sz w:val="24"/>
              </w:rPr>
              <w:t>（1）样品制作的标准和要求：_________；</w:t>
            </w:r>
          </w:p>
          <w:p w14:paraId="1BC54B06">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（2）是否需要随样品提交相关检测报告：</w:t>
            </w:r>
          </w:p>
          <w:p w14:paraId="4DB09ABD">
            <w:pPr>
              <w:keepNext w:val="0"/>
              <w:keepLines w:val="0"/>
              <w:suppressLineNumbers w:val="0"/>
              <w:spacing w:before="0" w:beforeAutospacing="0" w:after="0" w:afterAutospacing="0"/>
              <w:ind w:left="0" w:right="0" w:firstLine="600" w:firstLineChars="250"/>
              <w:jc w:val="left"/>
              <w:rPr>
                <w:rFonts w:hint="default" w:ascii="仿宋" w:hAnsi="仿宋" w:eastAsia="仿宋" w:cs="仿宋"/>
                <w:sz w:val="24"/>
              </w:rPr>
            </w:pPr>
            <w:r>
              <w:rPr>
                <w:rFonts w:hint="eastAsia" w:ascii="仿宋" w:hAnsi="仿宋" w:eastAsia="仿宋" w:cs="仿宋"/>
                <w:sz w:val="24"/>
              </w:rPr>
              <w:t>□不需要</w:t>
            </w:r>
          </w:p>
          <w:p w14:paraId="3BE4E805">
            <w:pPr>
              <w:keepNext w:val="0"/>
              <w:keepLines w:val="0"/>
              <w:suppressLineNumbers w:val="0"/>
              <w:spacing w:before="0" w:beforeAutospacing="0" w:after="0" w:afterAutospacing="0"/>
              <w:ind w:left="0" w:right="0" w:firstLine="600" w:firstLineChars="250"/>
              <w:jc w:val="left"/>
              <w:rPr>
                <w:rFonts w:hint="default" w:ascii="仿宋" w:hAnsi="仿宋" w:eastAsia="仿宋" w:cs="仿宋"/>
                <w:sz w:val="24"/>
              </w:rPr>
            </w:pPr>
            <w:r>
              <w:rPr>
                <w:rFonts w:hint="eastAsia" w:ascii="仿宋" w:hAnsi="仿宋" w:eastAsia="仿宋" w:cs="仿宋"/>
                <w:sz w:val="24"/>
              </w:rPr>
              <w:t>□需要</w:t>
            </w:r>
          </w:p>
          <w:p w14:paraId="1FF6FC88">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（3）样品递交要求：_________；</w:t>
            </w:r>
          </w:p>
          <w:p w14:paraId="025E30FA">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（4）未中标人样品退还：_________；</w:t>
            </w:r>
          </w:p>
          <w:p w14:paraId="6EC285FD">
            <w:pPr>
              <w:keepNext w:val="0"/>
              <w:keepLines w:val="0"/>
              <w:suppressLineNumbers w:val="0"/>
              <w:spacing w:before="0" w:beforeAutospacing="0" w:after="0" w:afterAutospacing="0"/>
              <w:ind w:left="0" w:right="0"/>
              <w:jc w:val="left"/>
              <w:rPr>
                <w:rFonts w:hint="default" w:ascii="仿宋" w:hAnsi="仿宋" w:eastAsia="仿宋" w:cs="仿宋"/>
                <w:sz w:val="24"/>
                <w:u w:val="single"/>
              </w:rPr>
            </w:pPr>
            <w:r>
              <w:rPr>
                <w:rFonts w:hint="eastAsia" w:ascii="仿宋" w:hAnsi="仿宋" w:eastAsia="仿宋" w:cs="仿宋"/>
                <w:sz w:val="24"/>
              </w:rPr>
              <w:t>（5）中标人样品保管、封存及退还：_________；</w:t>
            </w:r>
          </w:p>
          <w:p w14:paraId="129B31F2">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（6）其他要求（如有）：_________。</w:t>
            </w:r>
          </w:p>
        </w:tc>
      </w:tr>
      <w:tr w14:paraId="7D41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350CE4C">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．7</w:t>
            </w:r>
          </w:p>
        </w:tc>
        <w:tc>
          <w:tcPr>
            <w:tcW w:w="1701" w:type="dxa"/>
            <w:vAlign w:val="center"/>
          </w:tcPr>
          <w:p w14:paraId="179A2FEC">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标的所属行业</w:t>
            </w:r>
          </w:p>
        </w:tc>
        <w:tc>
          <w:tcPr>
            <w:tcW w:w="5866" w:type="dxa"/>
            <w:vAlign w:val="center"/>
          </w:tcPr>
          <w:p w14:paraId="028F7BEC">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本项目采购标的对应的中小企业划分标准所属行业：</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5"/>
              <w:gridCol w:w="2825"/>
            </w:tblGrid>
            <w:tr w14:paraId="19B1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21A6B0B0">
                  <w:pPr>
                    <w:keepNext w:val="0"/>
                    <w:keepLines w:val="0"/>
                    <w:suppressLineNumbers w:val="0"/>
                    <w:spacing w:before="0" w:beforeAutospacing="0" w:after="0" w:afterAutospacing="0"/>
                    <w:ind w:left="0" w:right="0"/>
                    <w:jc w:val="center"/>
                    <w:rPr>
                      <w:rFonts w:hint="default" w:ascii="仿宋" w:hAnsi="仿宋" w:eastAsia="仿宋" w:cs="仿宋"/>
                      <w:bCs/>
                      <w:sz w:val="24"/>
                    </w:rPr>
                  </w:pPr>
                  <w:r>
                    <w:rPr>
                      <w:rFonts w:hint="eastAsia" w:ascii="仿宋" w:hAnsi="仿宋" w:eastAsia="仿宋" w:cs="仿宋"/>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04522320">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中小企业划分标准所属行业</w:t>
                  </w:r>
                </w:p>
              </w:tc>
            </w:tr>
            <w:tr w14:paraId="17A7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23F42B4C">
                  <w:pPr>
                    <w:keepNext w:val="0"/>
                    <w:keepLines w:val="0"/>
                    <w:suppressLineNumbers w:val="0"/>
                    <w:spacing w:before="0" w:beforeAutospacing="0" w:after="0" w:afterAutospacing="0" w:line="360" w:lineRule="auto"/>
                    <w:ind w:left="0" w:right="0"/>
                    <w:rPr>
                      <w:rFonts w:hint="default" w:ascii="仿宋" w:hAnsi="仿宋" w:eastAsia="仿宋" w:cs="仿宋"/>
                      <w:sz w:val="24"/>
                    </w:rPr>
                  </w:pPr>
                  <w:r>
                    <w:rPr>
                      <w:rFonts w:hint="eastAsia" w:ascii="仿宋" w:hAnsi="仿宋" w:eastAsia="仿宋" w:cs="仿宋"/>
                      <w:sz w:val="24"/>
                      <w:lang w:eastAsia="zh-CN"/>
                    </w:rPr>
                    <w:t>北京协和医学院</w:t>
                  </w:r>
                  <w:r>
                    <w:rPr>
                      <w:rFonts w:hint="eastAsia" w:ascii="仿宋" w:hAnsi="仿宋" w:eastAsia="仿宋" w:cs="仿宋"/>
                      <w:sz w:val="24"/>
                    </w:rPr>
                    <w:t>心理素质教育一体化平台等级保护测评费项目</w:t>
                  </w:r>
                </w:p>
              </w:tc>
              <w:tc>
                <w:tcPr>
                  <w:tcW w:w="2505" w:type="pct"/>
                  <w:tcBorders>
                    <w:top w:val="single" w:color="auto" w:sz="4" w:space="0"/>
                    <w:left w:val="single" w:color="auto" w:sz="4" w:space="0"/>
                    <w:bottom w:val="single" w:color="auto" w:sz="4" w:space="0"/>
                    <w:right w:val="single" w:color="auto" w:sz="4" w:space="0"/>
                  </w:tcBorders>
                  <w:vAlign w:val="center"/>
                </w:tcPr>
                <w:p w14:paraId="79B2D7BD">
                  <w:pPr>
                    <w:keepNext w:val="0"/>
                    <w:keepLines w:val="0"/>
                    <w:suppressLineNumbers w:val="0"/>
                    <w:spacing w:before="0" w:beforeAutospacing="0" w:after="0" w:afterAutospacing="0"/>
                    <w:ind w:left="0" w:right="0"/>
                    <w:jc w:val="center"/>
                    <w:rPr>
                      <w:rFonts w:hint="default" w:ascii="仿宋" w:hAnsi="仿宋" w:eastAsia="仿宋" w:cs="仿宋"/>
                      <w:kern w:val="0"/>
                      <w:sz w:val="24"/>
                    </w:rPr>
                  </w:pPr>
                  <w:r>
                    <w:rPr>
                      <w:rFonts w:hint="default"/>
                      <w:sz w:val="24"/>
                    </w:rPr>
                    <w:t>软件和信息技术服务业</w:t>
                  </w:r>
                </w:p>
              </w:tc>
            </w:tr>
          </w:tbl>
          <w:p w14:paraId="72A60E5F">
            <w:pPr>
              <w:keepNext w:val="0"/>
              <w:keepLines w:val="0"/>
              <w:suppressLineNumbers w:val="0"/>
              <w:spacing w:before="0" w:beforeAutospacing="0" w:after="0" w:afterAutospacing="0"/>
              <w:ind w:left="0" w:right="0"/>
              <w:jc w:val="left"/>
              <w:rPr>
                <w:rFonts w:hint="default" w:ascii="仿宋" w:hAnsi="仿宋" w:eastAsia="仿宋" w:cs="仿宋"/>
                <w:sz w:val="24"/>
              </w:rPr>
            </w:pPr>
          </w:p>
        </w:tc>
      </w:tr>
      <w:tr w14:paraId="445E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2F1E3B8">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．8</w:t>
            </w:r>
          </w:p>
        </w:tc>
        <w:tc>
          <w:tcPr>
            <w:tcW w:w="1701" w:type="dxa"/>
            <w:vAlign w:val="center"/>
          </w:tcPr>
          <w:p w14:paraId="5BF0596C">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投标报价</w:t>
            </w:r>
          </w:p>
        </w:tc>
        <w:tc>
          <w:tcPr>
            <w:tcW w:w="5866" w:type="dxa"/>
            <w:vAlign w:val="center"/>
          </w:tcPr>
          <w:p w14:paraId="64A5FDFE">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投标报价的特殊规定：</w:t>
            </w:r>
          </w:p>
          <w:p w14:paraId="6F372C36">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□无</w:t>
            </w:r>
          </w:p>
          <w:p w14:paraId="51C6C7DC">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■有，具体情形：</w:t>
            </w:r>
            <w:r>
              <w:rPr>
                <w:rFonts w:hint="eastAsia" w:ascii="仿宋" w:hAnsi="仿宋" w:eastAsia="仿宋" w:cs="仿宋"/>
                <w:spacing w:val="6"/>
                <w:sz w:val="24"/>
              </w:rPr>
              <w:t>本项目最高投标限价：</w:t>
            </w:r>
            <w:r>
              <w:rPr>
                <w:rFonts w:hint="eastAsia" w:ascii="仿宋" w:hAnsi="仿宋" w:eastAsia="仿宋" w:cs="仿宋"/>
                <w:color w:val="262626" w:themeColor="text1" w:themeTint="D9"/>
                <w:sz w:val="24"/>
                <w:u w:val="single"/>
                <w:lang w:val="en-US" w:eastAsia="zh-CN"/>
                <w14:textFill>
                  <w14:solidFill>
                    <w14:schemeClr w14:val="tx1">
                      <w14:lumMod w14:val="85000"/>
                      <w14:lumOff w14:val="15000"/>
                    </w14:schemeClr>
                  </w14:solidFill>
                </w14:textFill>
              </w:rPr>
              <w:t>10</w:t>
            </w:r>
            <w:r>
              <w:rPr>
                <w:rFonts w:hint="eastAsia" w:ascii="仿宋" w:hAnsi="仿宋" w:eastAsia="仿宋" w:cs="仿宋"/>
                <w:spacing w:val="6"/>
                <w:sz w:val="24"/>
              </w:rPr>
              <w:t>万元，超过最</w:t>
            </w:r>
            <w:r>
              <w:rPr>
                <w:rFonts w:hint="eastAsia" w:ascii="仿宋" w:hAnsi="仿宋" w:eastAsia="仿宋" w:cs="仿宋"/>
                <w:sz w:val="24"/>
              </w:rPr>
              <w:t>高</w:t>
            </w:r>
            <w:r>
              <w:rPr>
                <w:rFonts w:hint="eastAsia" w:ascii="仿宋" w:hAnsi="仿宋" w:eastAsia="仿宋" w:cs="仿宋"/>
                <w:spacing w:val="15"/>
                <w:sz w:val="24"/>
              </w:rPr>
              <w:t>限</w:t>
            </w:r>
            <w:r>
              <w:rPr>
                <w:rFonts w:hint="eastAsia" w:ascii="仿宋" w:hAnsi="仿宋" w:eastAsia="仿宋" w:cs="仿宋"/>
                <w:spacing w:val="9"/>
                <w:sz w:val="24"/>
              </w:rPr>
              <w:t>价的投标将被拒绝</w:t>
            </w:r>
            <w:r>
              <w:rPr>
                <w:rFonts w:hint="eastAsia" w:ascii="仿宋" w:hAnsi="仿宋" w:eastAsia="仿宋" w:cs="仿宋"/>
                <w:sz w:val="24"/>
              </w:rPr>
              <w:t>。</w:t>
            </w:r>
          </w:p>
        </w:tc>
      </w:tr>
      <w:tr w14:paraId="546B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4685CE22">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．9</w:t>
            </w:r>
          </w:p>
        </w:tc>
        <w:tc>
          <w:tcPr>
            <w:tcW w:w="1701" w:type="dxa"/>
            <w:vMerge w:val="restart"/>
            <w:vAlign w:val="center"/>
          </w:tcPr>
          <w:p w14:paraId="215D8F5C">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投标保证金</w:t>
            </w:r>
          </w:p>
        </w:tc>
        <w:tc>
          <w:tcPr>
            <w:tcW w:w="5866" w:type="dxa"/>
            <w:vAlign w:val="center"/>
          </w:tcPr>
          <w:p w14:paraId="4E9D340D">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■不需要</w:t>
            </w:r>
          </w:p>
        </w:tc>
      </w:tr>
      <w:tr w14:paraId="4A9C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B063DA">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．1</w:t>
            </w:r>
            <w:r>
              <w:rPr>
                <w:rFonts w:hint="default" w:ascii="仿宋" w:hAnsi="仿宋" w:eastAsia="仿宋" w:cs="仿宋"/>
                <w:sz w:val="24"/>
              </w:rPr>
              <w:t>0</w:t>
            </w:r>
          </w:p>
        </w:tc>
        <w:tc>
          <w:tcPr>
            <w:tcW w:w="1701" w:type="dxa"/>
            <w:vMerge w:val="continue"/>
            <w:vAlign w:val="center"/>
          </w:tcPr>
          <w:p w14:paraId="095C8E65">
            <w:pPr>
              <w:keepNext w:val="0"/>
              <w:keepLines w:val="0"/>
              <w:suppressLineNumbers w:val="0"/>
              <w:spacing w:before="0" w:beforeAutospacing="0" w:after="0" w:afterAutospacing="0"/>
              <w:ind w:left="0" w:right="0"/>
              <w:jc w:val="center"/>
              <w:rPr>
                <w:rFonts w:hint="default" w:ascii="仿宋" w:hAnsi="仿宋" w:eastAsia="仿宋" w:cs="仿宋"/>
                <w:sz w:val="24"/>
              </w:rPr>
            </w:pPr>
          </w:p>
        </w:tc>
        <w:tc>
          <w:tcPr>
            <w:tcW w:w="5866" w:type="dxa"/>
            <w:vAlign w:val="center"/>
          </w:tcPr>
          <w:p w14:paraId="07E29B19">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投标保证金可以不予退还的其他情形：</w:t>
            </w:r>
          </w:p>
          <w:p w14:paraId="2B73803F">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■无</w:t>
            </w:r>
          </w:p>
          <w:p w14:paraId="044B914D">
            <w:pPr>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□有，具体情形：_____。</w:t>
            </w:r>
          </w:p>
        </w:tc>
      </w:tr>
      <w:tr w14:paraId="05D0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1CAC35">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．1</w:t>
            </w:r>
            <w:r>
              <w:rPr>
                <w:rFonts w:hint="default" w:ascii="仿宋" w:hAnsi="仿宋" w:eastAsia="仿宋" w:cs="仿宋"/>
                <w:sz w:val="24"/>
              </w:rPr>
              <w:t>1</w:t>
            </w:r>
          </w:p>
        </w:tc>
        <w:tc>
          <w:tcPr>
            <w:tcW w:w="1701" w:type="dxa"/>
            <w:vAlign w:val="center"/>
          </w:tcPr>
          <w:p w14:paraId="3ABAC28C">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投标有效期</w:t>
            </w:r>
          </w:p>
        </w:tc>
        <w:tc>
          <w:tcPr>
            <w:tcW w:w="5866" w:type="dxa"/>
            <w:vAlign w:val="center"/>
          </w:tcPr>
          <w:p w14:paraId="02BD15AE">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自提交投标文件的截止之日起算</w:t>
            </w:r>
            <w:r>
              <w:rPr>
                <w:rFonts w:hint="eastAsia" w:ascii="仿宋" w:hAnsi="仿宋" w:eastAsia="仿宋" w:cs="仿宋"/>
                <w:sz w:val="24"/>
                <w:u w:val="single"/>
              </w:rPr>
              <w:t>90</w:t>
            </w:r>
            <w:r>
              <w:rPr>
                <w:rFonts w:hint="eastAsia" w:ascii="仿宋" w:hAnsi="仿宋" w:eastAsia="仿宋" w:cs="仿宋"/>
                <w:sz w:val="24"/>
              </w:rPr>
              <w:t>日历天。</w:t>
            </w:r>
          </w:p>
        </w:tc>
      </w:tr>
      <w:tr w14:paraId="49B73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2EEEDC">
            <w:pPr>
              <w:keepNext w:val="0"/>
              <w:keepLines w:val="0"/>
              <w:widowControl/>
              <w:suppressLineNumbers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．1</w:t>
            </w:r>
            <w:r>
              <w:rPr>
                <w:rFonts w:hint="default" w:ascii="仿宋" w:hAnsi="仿宋" w:eastAsia="仿宋" w:cs="仿宋"/>
                <w:sz w:val="24"/>
              </w:rPr>
              <w:t>2</w:t>
            </w:r>
          </w:p>
        </w:tc>
        <w:tc>
          <w:tcPr>
            <w:tcW w:w="1701" w:type="dxa"/>
            <w:vAlign w:val="center"/>
          </w:tcPr>
          <w:p w14:paraId="605060D4">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 xml:space="preserve">投标文件的密封及标记 </w:t>
            </w:r>
          </w:p>
        </w:tc>
        <w:tc>
          <w:tcPr>
            <w:tcW w:w="5866" w:type="dxa"/>
            <w:vAlign w:val="center"/>
          </w:tcPr>
          <w:p w14:paraId="7328E38A">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 xml:space="preserve">正本：1份；副本：4份；电子版：1份（U盘或光盘形式） </w:t>
            </w:r>
          </w:p>
          <w:p w14:paraId="7A1A62F5">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 xml:space="preserve">正本、副本、电子版须单独密封提交 </w:t>
            </w:r>
          </w:p>
        </w:tc>
      </w:tr>
      <w:tr w14:paraId="18215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63AB60">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．1</w:t>
            </w:r>
            <w:r>
              <w:rPr>
                <w:rFonts w:hint="default" w:ascii="仿宋" w:hAnsi="仿宋" w:eastAsia="仿宋" w:cs="仿宋"/>
                <w:sz w:val="24"/>
              </w:rPr>
              <w:t>3</w:t>
            </w:r>
          </w:p>
        </w:tc>
        <w:tc>
          <w:tcPr>
            <w:tcW w:w="1701" w:type="dxa"/>
            <w:vAlign w:val="center"/>
          </w:tcPr>
          <w:p w14:paraId="1B924B60">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确定中标人</w:t>
            </w:r>
          </w:p>
        </w:tc>
        <w:tc>
          <w:tcPr>
            <w:tcW w:w="5866" w:type="dxa"/>
            <w:vAlign w:val="center"/>
          </w:tcPr>
          <w:p w14:paraId="26643C16">
            <w:pPr>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中标候选人并列的，采购人是否委托评标委员会确定中标人：</w:t>
            </w:r>
          </w:p>
          <w:p w14:paraId="0BACEAA0">
            <w:pPr>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■否</w:t>
            </w:r>
          </w:p>
          <w:p w14:paraId="757CF150">
            <w:pPr>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□是</w:t>
            </w:r>
          </w:p>
          <w:p w14:paraId="1C44CCC2">
            <w:pPr>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 xml:space="preserve">中标候选人并列的，按照以下方式确定中标人： </w:t>
            </w:r>
          </w:p>
          <w:p w14:paraId="22A93E99">
            <w:pPr>
              <w:keepNext w:val="0"/>
              <w:keepLines w:val="0"/>
              <w:suppressLineNumbers w:val="0"/>
              <w:adjustRightInd w:val="0"/>
              <w:snapToGrid w:val="0"/>
              <w:spacing w:before="0" w:beforeAutospacing="0" w:after="0" w:afterAutospacing="0"/>
              <w:ind w:left="0" w:right="0"/>
              <w:rPr>
                <w:rFonts w:hint="default" w:ascii="仿宋" w:hAnsi="仿宋" w:eastAsia="仿宋" w:cs="仿宋"/>
                <w:sz w:val="24"/>
              </w:rPr>
            </w:pPr>
            <w:r>
              <w:rPr>
                <w:rFonts w:hint="eastAsia" w:ascii="仿宋" w:hAnsi="仿宋" w:eastAsia="仿宋" w:cs="仿宋"/>
                <w:sz w:val="24"/>
              </w:rPr>
              <w:t>■得分且投标报价均相同的，以</w:t>
            </w:r>
            <w:r>
              <w:rPr>
                <w:rFonts w:hint="eastAsia" w:ascii="仿宋" w:hAnsi="仿宋" w:eastAsia="仿宋" w:cs="仿宋"/>
                <w:sz w:val="24"/>
                <w:u w:val="single"/>
              </w:rPr>
              <w:t>综合</w:t>
            </w:r>
            <w:r>
              <w:rPr>
                <w:rFonts w:hint="eastAsia" w:ascii="仿宋" w:hAnsi="仿宋" w:eastAsia="仿宋" w:cs="仿宋"/>
                <w:sz w:val="24"/>
              </w:rPr>
              <w:t>得分高者为中标人</w:t>
            </w:r>
          </w:p>
          <w:p w14:paraId="7D7C1572">
            <w:pPr>
              <w:keepNext w:val="0"/>
              <w:keepLines w:val="0"/>
              <w:suppressLineNumbers w:val="0"/>
              <w:spacing w:before="0" w:beforeAutospacing="0" w:after="0" w:afterAutospacing="0"/>
              <w:ind w:left="0" w:right="0"/>
              <w:jc w:val="left"/>
              <w:rPr>
                <w:rFonts w:hint="default" w:ascii="仿宋" w:hAnsi="仿宋" w:eastAsia="仿宋" w:cs="仿宋"/>
                <w:sz w:val="24"/>
                <w:u w:val="single"/>
              </w:rPr>
            </w:pPr>
            <w:r>
              <w:rPr>
                <w:rFonts w:hint="eastAsia" w:ascii="仿宋" w:hAnsi="仿宋" w:eastAsia="仿宋" w:cs="仿宋"/>
                <w:sz w:val="24"/>
              </w:rPr>
              <w:t>□随机抽取</w:t>
            </w:r>
          </w:p>
        </w:tc>
      </w:tr>
      <w:tr w14:paraId="24880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D7F4E4">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．1</w:t>
            </w:r>
            <w:r>
              <w:rPr>
                <w:rFonts w:hint="default" w:ascii="仿宋" w:hAnsi="仿宋" w:eastAsia="仿宋" w:cs="仿宋"/>
                <w:sz w:val="24"/>
              </w:rPr>
              <w:t>4</w:t>
            </w:r>
          </w:p>
        </w:tc>
        <w:tc>
          <w:tcPr>
            <w:tcW w:w="1701" w:type="dxa"/>
            <w:vAlign w:val="center"/>
          </w:tcPr>
          <w:p w14:paraId="44D1214E">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分包</w:t>
            </w:r>
          </w:p>
        </w:tc>
        <w:tc>
          <w:tcPr>
            <w:tcW w:w="5866" w:type="dxa"/>
            <w:vAlign w:val="center"/>
          </w:tcPr>
          <w:p w14:paraId="0B268E00">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 xml:space="preserve">本项目的非主体、非关键性工作是否允许分包： </w:t>
            </w:r>
          </w:p>
          <w:p w14:paraId="13FB0878">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■不允许</w:t>
            </w:r>
          </w:p>
          <w:p w14:paraId="74A441F5">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□允许，具体要求：</w:t>
            </w:r>
          </w:p>
          <w:p w14:paraId="7CD64745">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（1）可以分包履行的具体内容：_____；</w:t>
            </w:r>
          </w:p>
          <w:p w14:paraId="0C6C4A50">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（2）允许分包的金额或者比例：_____；</w:t>
            </w:r>
          </w:p>
          <w:p w14:paraId="1CF93921">
            <w:pPr>
              <w:keepNext w:val="0"/>
              <w:keepLines w:val="0"/>
              <w:suppressLineNumbers w:val="0"/>
              <w:spacing w:before="0" w:beforeAutospacing="0" w:after="0" w:afterAutospacing="0"/>
              <w:ind w:left="0" w:right="0"/>
              <w:jc w:val="left"/>
              <w:rPr>
                <w:rFonts w:hint="default" w:ascii="仿宋" w:hAnsi="仿宋" w:eastAsia="仿宋" w:cs="仿宋"/>
                <w:sz w:val="24"/>
                <w:u w:val="single"/>
              </w:rPr>
            </w:pPr>
            <w:r>
              <w:rPr>
                <w:rFonts w:hint="eastAsia" w:ascii="仿宋" w:hAnsi="仿宋" w:eastAsia="仿宋" w:cs="仿宋"/>
                <w:sz w:val="24"/>
              </w:rPr>
              <w:t>（3）其他要求：_____。</w:t>
            </w:r>
          </w:p>
        </w:tc>
      </w:tr>
      <w:tr w14:paraId="5EC4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6AAE63">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．1</w:t>
            </w:r>
            <w:r>
              <w:rPr>
                <w:rFonts w:hint="default" w:ascii="仿宋" w:hAnsi="仿宋" w:eastAsia="仿宋" w:cs="仿宋"/>
                <w:sz w:val="24"/>
              </w:rPr>
              <w:t>5</w:t>
            </w:r>
          </w:p>
        </w:tc>
        <w:tc>
          <w:tcPr>
            <w:tcW w:w="1701" w:type="dxa"/>
            <w:vAlign w:val="center"/>
          </w:tcPr>
          <w:p w14:paraId="7FD949A8">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询问</w:t>
            </w:r>
          </w:p>
        </w:tc>
        <w:tc>
          <w:tcPr>
            <w:tcW w:w="5866" w:type="dxa"/>
            <w:vAlign w:val="center"/>
          </w:tcPr>
          <w:p w14:paraId="6CA98183">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询问送达形式：</w:t>
            </w:r>
            <w:r>
              <w:rPr>
                <w:rFonts w:hint="eastAsia" w:ascii="仿宋" w:hAnsi="仿宋" w:eastAsia="仿宋" w:cs="仿宋"/>
                <w:sz w:val="24"/>
                <w:u w:val="single"/>
              </w:rPr>
              <w:t>书面递交.</w:t>
            </w:r>
          </w:p>
        </w:tc>
      </w:tr>
      <w:tr w14:paraId="23E4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48FF08">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sz w:val="24"/>
              </w:rPr>
            </w:pPr>
            <w:r>
              <w:rPr>
                <w:rFonts w:hint="default" w:ascii="仿宋" w:hAnsi="仿宋" w:eastAsia="仿宋" w:cs="仿宋"/>
                <w:sz w:val="24"/>
              </w:rPr>
              <w:t>2</w:t>
            </w:r>
            <w:r>
              <w:rPr>
                <w:rFonts w:hint="eastAsia" w:ascii="仿宋" w:hAnsi="仿宋" w:eastAsia="仿宋" w:cs="仿宋"/>
                <w:sz w:val="24"/>
              </w:rPr>
              <w:t>．1</w:t>
            </w:r>
            <w:r>
              <w:rPr>
                <w:rFonts w:hint="default" w:ascii="仿宋" w:hAnsi="仿宋" w:eastAsia="仿宋" w:cs="仿宋"/>
                <w:sz w:val="24"/>
              </w:rPr>
              <w:t>6</w:t>
            </w:r>
          </w:p>
        </w:tc>
        <w:tc>
          <w:tcPr>
            <w:tcW w:w="1701" w:type="dxa"/>
            <w:vAlign w:val="center"/>
          </w:tcPr>
          <w:p w14:paraId="33A22BA1">
            <w:pPr>
              <w:keepNext w:val="0"/>
              <w:keepLines w:val="0"/>
              <w:suppressLineNumbers w:val="0"/>
              <w:spacing w:before="0" w:beforeAutospacing="0" w:after="0" w:afterAutospacing="0"/>
              <w:ind w:left="0" w:right="0"/>
              <w:jc w:val="center"/>
              <w:rPr>
                <w:rFonts w:hint="default" w:ascii="仿宋" w:hAnsi="仿宋" w:eastAsia="仿宋" w:cs="仿宋"/>
                <w:sz w:val="24"/>
              </w:rPr>
            </w:pPr>
            <w:r>
              <w:rPr>
                <w:rFonts w:hint="eastAsia" w:ascii="仿宋" w:hAnsi="仿宋" w:eastAsia="仿宋" w:cs="仿宋"/>
                <w:sz w:val="24"/>
              </w:rPr>
              <w:t>联系方式</w:t>
            </w:r>
          </w:p>
        </w:tc>
        <w:tc>
          <w:tcPr>
            <w:tcW w:w="5866" w:type="dxa"/>
            <w:vAlign w:val="center"/>
          </w:tcPr>
          <w:p w14:paraId="7475EA3B">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rPr>
              <w:t>接收询问和质疑的联系方式</w:t>
            </w:r>
          </w:p>
          <w:p w14:paraId="33855538">
            <w:pPr>
              <w:keepNext w:val="0"/>
              <w:keepLines w:val="0"/>
              <w:suppressLineNumbers w:val="0"/>
              <w:spacing w:before="0" w:beforeAutospacing="0" w:after="0" w:afterAutospacing="0"/>
              <w:ind w:left="0" w:right="0"/>
              <w:jc w:val="left"/>
              <w:rPr>
                <w:rFonts w:hint="default" w:ascii="仿宋" w:hAnsi="仿宋" w:eastAsia="仿宋" w:cs="仿宋"/>
                <w:sz w:val="24"/>
                <w14:textFill>
                  <w14:gradFill>
                    <w14:gsLst>
                      <w14:gs w14:pos="0">
                        <w14:srgbClr w14:val="E30000"/>
                      </w14:gs>
                      <w14:gs w14:pos="100000">
                        <w14:srgbClr w14:val="760303"/>
                      </w14:gs>
                    </w14:gsLst>
                    <w14:lin w14:ang="0" w14:scaled="0"/>
                  </w14:gradFill>
                </w14:textFill>
              </w:rPr>
            </w:pPr>
            <w:commentRangeStart w:id="0"/>
            <w:r>
              <w:rPr>
                <w:rFonts w:hint="eastAsia" w:ascii="仿宋" w:hAnsi="仿宋" w:eastAsia="仿宋" w:cs="仿宋"/>
                <w:sz w:val="24"/>
                <w14:textFill>
                  <w14:gradFill>
                    <w14:gsLst>
                      <w14:gs w14:pos="0">
                        <w14:srgbClr w14:val="E30000"/>
                      </w14:gs>
                      <w14:gs w14:pos="100000">
                        <w14:srgbClr w14:val="760303"/>
                      </w14:gs>
                    </w14:gsLst>
                    <w14:lin w14:ang="0" w14:scaled="0"/>
                  </w14:gradFill>
                </w14:textFill>
              </w:rPr>
              <w:t>联系部门：</w:t>
            </w:r>
            <w:r>
              <w:rPr>
                <w:rFonts w:hint="eastAsia" w:ascii="仿宋" w:hAnsi="仿宋" w:eastAsia="仿宋" w:cs="仿宋"/>
                <w:sz w:val="24"/>
                <w:u w:val="single"/>
                <w14:textFill>
                  <w14:gradFill>
                    <w14:gsLst>
                      <w14:gs w14:pos="0">
                        <w14:srgbClr w14:val="E30000"/>
                      </w14:gs>
                      <w14:gs w14:pos="100000">
                        <w14:srgbClr w14:val="760303"/>
                      </w14:gs>
                    </w14:gsLst>
                    <w14:lin w14:ang="0" w14:scaled="0"/>
                  </w14:gradFill>
                </w14:textFill>
              </w:rPr>
              <w:t xml:space="preserve">    </w:t>
            </w:r>
            <w:r>
              <w:rPr>
                <w:rFonts w:hint="eastAsia" w:ascii="仿宋" w:hAnsi="仿宋" w:eastAsia="仿宋" w:cs="仿宋"/>
                <w:sz w:val="24"/>
                <w:u w:val="single"/>
                <w:lang w:val="en-US" w:eastAsia="zh-CN"/>
                <w14:textFill>
                  <w14:gradFill>
                    <w14:gsLst>
                      <w14:gs w14:pos="0">
                        <w14:srgbClr w14:val="E30000"/>
                      </w14:gs>
                      <w14:gs w14:pos="100000">
                        <w14:srgbClr w14:val="760303"/>
                      </w14:gs>
                    </w14:gsLst>
                    <w14:lin w14:ang="0" w14:scaled="0"/>
                  </w14:gradFill>
                </w14:textFill>
              </w:rPr>
              <w:t>学生处</w:t>
            </w:r>
            <w:r>
              <w:rPr>
                <w:rFonts w:hint="eastAsia" w:ascii="仿宋" w:hAnsi="仿宋" w:eastAsia="仿宋" w:cs="仿宋"/>
                <w:sz w:val="24"/>
                <w:u w:val="single"/>
                <w14:textFill>
                  <w14:gradFill>
                    <w14:gsLst>
                      <w14:gs w14:pos="0">
                        <w14:srgbClr w14:val="E30000"/>
                      </w14:gs>
                      <w14:gs w14:pos="100000">
                        <w14:srgbClr w14:val="760303"/>
                      </w14:gs>
                    </w14:gsLst>
                    <w14:lin w14:ang="0" w14:scaled="0"/>
                  </w14:gradFill>
                </w14:textFill>
              </w:rPr>
              <w:t xml:space="preserve">        </w:t>
            </w:r>
            <w:r>
              <w:rPr>
                <w:rFonts w:hint="eastAsia" w:ascii="仿宋" w:hAnsi="仿宋" w:eastAsia="仿宋" w:cs="仿宋"/>
                <w:sz w:val="24"/>
                <w14:textFill>
                  <w14:gradFill>
                    <w14:gsLst>
                      <w14:gs w14:pos="0">
                        <w14:srgbClr w14:val="E30000"/>
                      </w14:gs>
                      <w14:gs w14:pos="100000">
                        <w14:srgbClr w14:val="760303"/>
                      </w14:gs>
                    </w14:gsLst>
                    <w14:lin w14:ang="0" w14:scaled="0"/>
                  </w14:gradFill>
                </w14:textFill>
              </w:rPr>
              <w:t>；</w:t>
            </w:r>
          </w:p>
          <w:p w14:paraId="400A2A5B">
            <w:pPr>
              <w:keepNext w:val="0"/>
              <w:keepLines w:val="0"/>
              <w:suppressLineNumbers w:val="0"/>
              <w:spacing w:before="0" w:beforeAutospacing="0" w:after="0" w:afterAutospacing="0"/>
              <w:ind w:left="0" w:right="0"/>
              <w:jc w:val="left"/>
              <w:rPr>
                <w:rFonts w:hint="default" w:ascii="仿宋" w:hAnsi="仿宋" w:eastAsia="仿宋" w:cs="仿宋"/>
                <w:sz w:val="24"/>
                <w14:textFill>
                  <w14:gradFill>
                    <w14:gsLst>
                      <w14:gs w14:pos="0">
                        <w14:srgbClr w14:val="E30000"/>
                      </w14:gs>
                      <w14:gs w14:pos="100000">
                        <w14:srgbClr w14:val="760303"/>
                      </w14:gs>
                    </w14:gsLst>
                    <w14:lin w14:ang="0" w14:scaled="0"/>
                  </w14:gradFill>
                </w14:textFill>
              </w:rPr>
            </w:pPr>
            <w:r>
              <w:rPr>
                <w:rFonts w:hint="eastAsia" w:ascii="仿宋" w:hAnsi="仿宋" w:eastAsia="仿宋" w:cs="仿宋"/>
                <w:sz w:val="24"/>
                <w14:textFill>
                  <w14:gradFill>
                    <w14:gsLst>
                      <w14:gs w14:pos="0">
                        <w14:srgbClr w14:val="E30000"/>
                      </w14:gs>
                      <w14:gs w14:pos="100000">
                        <w14:srgbClr w14:val="760303"/>
                      </w14:gs>
                    </w14:gsLst>
                    <w14:lin w14:ang="0" w14:scaled="0"/>
                  </w14:gradFill>
                </w14:textFill>
              </w:rPr>
              <w:t>联系电话：</w:t>
            </w:r>
            <w:r>
              <w:rPr>
                <w:rFonts w:hint="eastAsia" w:ascii="仿宋" w:hAnsi="仿宋" w:eastAsia="仿宋" w:cs="仿宋"/>
                <w:sz w:val="24"/>
                <w:u w:val="single"/>
                <w14:textFill>
                  <w14:gradFill>
                    <w14:gsLst>
                      <w14:gs w14:pos="0">
                        <w14:srgbClr w14:val="E30000"/>
                      </w14:gs>
                      <w14:gs w14:pos="100000">
                        <w14:srgbClr w14:val="760303"/>
                      </w14:gs>
                    </w14:gsLst>
                    <w14:lin w14:ang="0" w14:scaled="0"/>
                  </w14:gradFill>
                </w14:textFill>
              </w:rPr>
              <w:t xml:space="preserve">   </w:t>
            </w:r>
            <w:r>
              <w:rPr>
                <w:rFonts w:hint="eastAsia" w:ascii="仿宋" w:hAnsi="仿宋" w:eastAsia="仿宋" w:cs="仿宋"/>
                <w:sz w:val="24"/>
                <w:u w:val="single"/>
                <w:lang w:val="en-US" w:eastAsia="zh-CN"/>
                <w14:textFill>
                  <w14:gradFill>
                    <w14:gsLst>
                      <w14:gs w14:pos="0">
                        <w14:srgbClr w14:val="E30000"/>
                      </w14:gs>
                      <w14:gs w14:pos="100000">
                        <w14:srgbClr w14:val="760303"/>
                      </w14:gs>
                    </w14:gsLst>
                    <w14:lin w14:ang="0" w14:scaled="0"/>
                  </w14:gradFill>
                </w14:textFill>
              </w:rPr>
              <w:t>65105819</w:t>
            </w:r>
            <w:r>
              <w:rPr>
                <w:rFonts w:hint="eastAsia" w:ascii="仿宋" w:hAnsi="仿宋" w:eastAsia="仿宋" w:cs="仿宋"/>
                <w:sz w:val="24"/>
                <w:u w:val="single"/>
                <w14:textFill>
                  <w14:gradFill>
                    <w14:gsLst>
                      <w14:gs w14:pos="0">
                        <w14:srgbClr w14:val="E30000"/>
                      </w14:gs>
                      <w14:gs w14:pos="100000">
                        <w14:srgbClr w14:val="760303"/>
                      </w14:gs>
                    </w14:gsLst>
                    <w14:lin w14:ang="0" w14:scaled="0"/>
                  </w14:gradFill>
                </w14:textFill>
              </w:rPr>
              <w:t xml:space="preserve">    </w:t>
            </w:r>
            <w:r>
              <w:rPr>
                <w:rFonts w:hint="eastAsia" w:ascii="仿宋" w:hAnsi="仿宋" w:eastAsia="仿宋" w:cs="仿宋"/>
                <w:sz w:val="24"/>
                <w14:textFill>
                  <w14:gradFill>
                    <w14:gsLst>
                      <w14:gs w14:pos="0">
                        <w14:srgbClr w14:val="E30000"/>
                      </w14:gs>
                      <w14:gs w14:pos="100000">
                        <w14:srgbClr w14:val="760303"/>
                      </w14:gs>
                    </w14:gsLst>
                    <w14:lin w14:ang="0" w14:scaled="0"/>
                  </w14:gradFill>
                </w14:textFill>
              </w:rPr>
              <w:t>；</w:t>
            </w:r>
          </w:p>
          <w:p w14:paraId="362CB03D">
            <w:pPr>
              <w:keepNext w:val="0"/>
              <w:keepLines w:val="0"/>
              <w:suppressLineNumbers w:val="0"/>
              <w:spacing w:before="0" w:beforeAutospacing="0" w:after="0" w:afterAutospacing="0"/>
              <w:ind w:left="0" w:right="0"/>
              <w:jc w:val="left"/>
              <w:rPr>
                <w:rFonts w:hint="default" w:ascii="仿宋" w:hAnsi="仿宋" w:eastAsia="仿宋" w:cs="仿宋"/>
                <w:sz w:val="24"/>
              </w:rPr>
            </w:pPr>
            <w:r>
              <w:rPr>
                <w:rFonts w:hint="eastAsia" w:ascii="仿宋" w:hAnsi="仿宋" w:eastAsia="仿宋" w:cs="仿宋"/>
                <w:sz w:val="24"/>
                <w14:textFill>
                  <w14:gradFill>
                    <w14:gsLst>
                      <w14:gs w14:pos="0">
                        <w14:srgbClr w14:val="E30000"/>
                      </w14:gs>
                      <w14:gs w14:pos="100000">
                        <w14:srgbClr w14:val="760303"/>
                      </w14:gs>
                    </w14:gsLst>
                    <w14:lin w14:ang="0" w14:scaled="0"/>
                  </w14:gradFill>
                </w14:textFill>
              </w:rPr>
              <w:t>通讯地址：</w:t>
            </w:r>
            <w:r>
              <w:rPr>
                <w:rFonts w:hint="eastAsia" w:ascii="仿宋" w:hAnsi="仿宋" w:eastAsia="仿宋" w:cs="仿宋"/>
                <w:sz w:val="24"/>
                <w:u w:val="single"/>
                <w14:textFill>
                  <w14:gradFill>
                    <w14:gsLst>
                      <w14:gs w14:pos="0">
                        <w14:srgbClr w14:val="E30000"/>
                      </w14:gs>
                      <w14:gs w14:pos="100000">
                        <w14:srgbClr w14:val="760303"/>
                      </w14:gs>
                    </w14:gsLst>
                    <w14:lin w14:ang="0" w14:scaled="0"/>
                  </w14:gradFill>
                </w14:textFill>
              </w:rPr>
              <w:t xml:space="preserve"> </w:t>
            </w:r>
            <w:r>
              <w:rPr>
                <w:rFonts w:hint="eastAsia" w:ascii="仿宋" w:hAnsi="仿宋" w:eastAsia="仿宋" w:cs="仿宋"/>
                <w:sz w:val="24"/>
                <w:u w:val="single"/>
                <w:lang w:val="en-US" w:eastAsia="zh-CN"/>
                <w14:textFill>
                  <w14:gradFill>
                    <w14:gsLst>
                      <w14:gs w14:pos="0">
                        <w14:srgbClr w14:val="E30000"/>
                      </w14:gs>
                      <w14:gs w14:pos="100000">
                        <w14:srgbClr w14:val="760303"/>
                      </w14:gs>
                    </w14:gsLst>
                    <w14:lin w14:ang="0" w14:scaled="0"/>
                  </w14:gradFill>
                </w14:textFill>
              </w:rPr>
              <w:t>北京市东城区东单三条九号</w:t>
            </w:r>
            <w:r>
              <w:rPr>
                <w:rFonts w:hint="eastAsia" w:ascii="仿宋" w:hAnsi="仿宋" w:eastAsia="仿宋" w:cs="仿宋"/>
                <w:sz w:val="24"/>
                <w:u w:val="single"/>
                <w14:textFill>
                  <w14:gradFill>
                    <w14:gsLst>
                      <w14:gs w14:pos="0">
                        <w14:srgbClr w14:val="E30000"/>
                      </w14:gs>
                      <w14:gs w14:pos="100000">
                        <w14:srgbClr w14:val="760303"/>
                      </w14:gs>
                    </w14:gsLst>
                    <w14:lin w14:ang="0" w14:scaled="0"/>
                  </w14:gradFill>
                </w14:textFill>
              </w:rPr>
              <w:t xml:space="preserve"> 。</w:t>
            </w:r>
            <w:commentRangeEnd w:id="0"/>
            <w:r>
              <w:rPr>
                <w:rStyle w:val="10"/>
                <w:rFonts w:hint="default"/>
              </w:rPr>
              <w:commentReference w:id="0"/>
            </w:r>
          </w:p>
        </w:tc>
      </w:tr>
    </w:tbl>
    <w:p w14:paraId="3EEA7B34">
      <w:pPr>
        <w:rPr>
          <w:rFonts w:ascii="等线" w:hAnsi="等线" w:eastAsia="等线" w:cs="Times New Roman"/>
          <w:szCs w:val="22"/>
        </w:rPr>
      </w:pPr>
    </w:p>
    <w:p w14:paraId="37A33643"/>
    <w:p w14:paraId="09EAC51B">
      <w:pPr>
        <w:keepNext/>
        <w:keepLines/>
        <w:numPr>
          <w:ilvl w:val="0"/>
          <w:numId w:val="1"/>
        </w:numPr>
        <w:spacing w:before="260" w:after="260" w:line="416" w:lineRule="auto"/>
        <w:outlineLvl w:val="1"/>
        <w:rPr>
          <w:rFonts w:ascii="宋体" w:hAnsi="宋体" w:eastAsia="宋体" w:cs="Times New Roman"/>
          <w:b/>
          <w:bCs/>
          <w:sz w:val="28"/>
          <w:szCs w:val="28"/>
        </w:rPr>
      </w:pPr>
      <w:r>
        <w:rPr>
          <w:rFonts w:ascii="宋体" w:hAnsi="宋体" w:eastAsia="宋体" w:cs="Times New Roman"/>
          <w:b/>
          <w:bCs/>
          <w:sz w:val="28"/>
          <w:szCs w:val="28"/>
        </w:rPr>
        <w:t>供应商的资格要求</w:t>
      </w:r>
    </w:p>
    <w:p w14:paraId="30D359AF">
      <w:pPr>
        <w:pStyle w:val="6"/>
        <w:widowControl/>
        <w:spacing w:beforeAutospacing="0" w:afterAutospacing="0" w:line="360" w:lineRule="auto"/>
        <w:ind w:firstLine="420"/>
        <w:jc w:val="both"/>
      </w:pPr>
      <w:r>
        <w:rPr>
          <w:rFonts w:ascii="仿宋" w:hAnsi="仿宋" w:eastAsia="仿宋" w:cs="仿宋"/>
          <w:color w:val="666666"/>
          <w:shd w:val="clear" w:color="auto" w:fill="FFFFFF"/>
        </w:rPr>
        <w:t>1.在中华人民共和国境内注册登记，有生产或供应能力的本国供应商，包括法人、其他组织和个人。</w:t>
      </w:r>
    </w:p>
    <w:p w14:paraId="59CA2623">
      <w:pPr>
        <w:pStyle w:val="6"/>
        <w:widowControl/>
        <w:spacing w:beforeAutospacing="0" w:afterAutospacing="0" w:line="360" w:lineRule="auto"/>
        <w:ind w:firstLine="420"/>
        <w:jc w:val="both"/>
      </w:pPr>
      <w:r>
        <w:rPr>
          <w:rFonts w:ascii="仿宋" w:hAnsi="仿宋" w:eastAsia="仿宋" w:cs="仿宋"/>
          <w:color w:val="666666"/>
          <w:shd w:val="clear" w:color="auto" w:fill="FFFFFF"/>
        </w:rPr>
        <w:t>2.符合《中华人民共和国政府采购法》第二十二条的规定：</w:t>
      </w:r>
    </w:p>
    <w:p w14:paraId="1C04838D">
      <w:pPr>
        <w:pStyle w:val="6"/>
        <w:widowControl/>
        <w:spacing w:beforeAutospacing="0" w:afterAutospacing="0" w:line="360" w:lineRule="auto"/>
        <w:ind w:firstLine="420"/>
        <w:jc w:val="both"/>
      </w:pPr>
      <w:r>
        <w:rPr>
          <w:rFonts w:ascii="仿宋" w:hAnsi="仿宋" w:eastAsia="仿宋" w:cs="仿宋"/>
          <w:color w:val="666666"/>
          <w:shd w:val="clear" w:color="auto" w:fill="FFFFFF"/>
        </w:rPr>
        <w:t>（1）具有独立承担民事责任的能力；</w:t>
      </w:r>
    </w:p>
    <w:p w14:paraId="4D7D49C9">
      <w:pPr>
        <w:pStyle w:val="6"/>
        <w:widowControl/>
        <w:spacing w:beforeAutospacing="0" w:afterAutospacing="0" w:line="360" w:lineRule="auto"/>
        <w:ind w:firstLine="420"/>
        <w:jc w:val="both"/>
      </w:pPr>
      <w:r>
        <w:rPr>
          <w:rFonts w:ascii="仿宋" w:hAnsi="仿宋" w:eastAsia="仿宋" w:cs="仿宋"/>
          <w:color w:val="666666"/>
          <w:shd w:val="clear" w:color="auto" w:fill="FFFFFF"/>
        </w:rPr>
        <w:t>（2）具有良好的商业信誉和健全的财务会计制度；</w:t>
      </w:r>
    </w:p>
    <w:p w14:paraId="3762D691">
      <w:pPr>
        <w:pStyle w:val="6"/>
        <w:widowControl/>
        <w:spacing w:beforeAutospacing="0" w:afterAutospacing="0" w:line="360" w:lineRule="auto"/>
        <w:ind w:firstLine="420"/>
        <w:jc w:val="both"/>
      </w:pPr>
      <w:r>
        <w:rPr>
          <w:rFonts w:ascii="仿宋" w:hAnsi="仿宋" w:eastAsia="仿宋" w:cs="仿宋"/>
          <w:color w:val="666666"/>
          <w:shd w:val="clear" w:color="auto" w:fill="FFFFFF"/>
        </w:rPr>
        <w:t>（3）具有履行合同所必需的设备和专业技术能力；</w:t>
      </w:r>
    </w:p>
    <w:p w14:paraId="3853FA4B">
      <w:pPr>
        <w:pStyle w:val="6"/>
        <w:widowControl/>
        <w:spacing w:beforeAutospacing="0" w:afterAutospacing="0" w:line="360" w:lineRule="auto"/>
        <w:ind w:firstLine="420"/>
        <w:jc w:val="both"/>
      </w:pPr>
      <w:r>
        <w:rPr>
          <w:rFonts w:ascii="仿宋" w:hAnsi="仿宋" w:eastAsia="仿宋" w:cs="仿宋"/>
          <w:color w:val="666666"/>
          <w:shd w:val="clear" w:color="auto" w:fill="FFFFFF"/>
        </w:rPr>
        <w:t>（4）具有依法缴纳税收和社会保障资金的良好记录；</w:t>
      </w:r>
    </w:p>
    <w:p w14:paraId="42ABA3E8">
      <w:pPr>
        <w:pStyle w:val="6"/>
        <w:widowControl/>
        <w:spacing w:beforeAutospacing="0" w:afterAutospacing="0" w:line="360" w:lineRule="auto"/>
        <w:ind w:firstLine="420"/>
        <w:jc w:val="both"/>
      </w:pPr>
      <w:r>
        <w:rPr>
          <w:rFonts w:ascii="仿宋" w:hAnsi="仿宋" w:eastAsia="仿宋" w:cs="仿宋"/>
          <w:color w:val="666666"/>
          <w:shd w:val="clear" w:color="auto" w:fill="FFFFFF"/>
        </w:rPr>
        <w:t>（5）参加此项采购活动前三年内，在经营活动中没有重大违法记录；</w:t>
      </w:r>
    </w:p>
    <w:p w14:paraId="24C4ECAA">
      <w:pPr>
        <w:pStyle w:val="6"/>
        <w:widowControl/>
        <w:spacing w:beforeAutospacing="0" w:afterAutospacing="0" w:line="360" w:lineRule="auto"/>
        <w:ind w:firstLine="420"/>
        <w:jc w:val="both"/>
      </w:pPr>
      <w:r>
        <w:rPr>
          <w:rFonts w:ascii="仿宋" w:hAnsi="仿宋" w:eastAsia="仿宋" w:cs="仿宋"/>
          <w:color w:val="666666"/>
          <w:shd w:val="clear" w:color="auto" w:fill="FFFFFF"/>
        </w:rPr>
        <w:t>（6）法律、行政法规规定的其他条件。</w:t>
      </w:r>
    </w:p>
    <w:p w14:paraId="17780E54">
      <w:pPr>
        <w:pStyle w:val="6"/>
        <w:widowControl/>
        <w:spacing w:beforeAutospacing="0" w:afterAutospacing="0" w:line="360" w:lineRule="auto"/>
        <w:ind w:firstLine="420"/>
        <w:jc w:val="both"/>
      </w:pPr>
      <w:r>
        <w:rPr>
          <w:rFonts w:ascii="仿宋" w:hAnsi="仿宋" w:eastAsia="仿宋" w:cs="仿宋"/>
          <w:color w:val="666666"/>
          <w:shd w:val="clear" w:color="auto" w:fill="FFFFFF"/>
        </w:rPr>
        <w:t>3.本项目提交首次响应文件截止之日前被“信用中国”网站列入失信被执行人和重大税收违法案件当事人名单的、被“中国政府采购网”网站列入政府采购严重违法失信行为记录名单（处罚期限尚未届满的），不得参与本项目的采购活动。</w:t>
      </w:r>
    </w:p>
    <w:p w14:paraId="2043917E">
      <w:pPr>
        <w:pStyle w:val="6"/>
        <w:widowControl/>
        <w:spacing w:beforeAutospacing="0" w:afterAutospacing="0" w:line="360" w:lineRule="auto"/>
        <w:ind w:firstLine="420"/>
        <w:jc w:val="both"/>
      </w:pPr>
      <w:r>
        <w:rPr>
          <w:rFonts w:ascii="仿宋" w:hAnsi="仿宋" w:eastAsia="仿宋" w:cs="仿宋"/>
          <w:color w:val="666666"/>
          <w:shd w:val="clear" w:color="auto" w:fill="FFFFFF"/>
        </w:rPr>
        <w:t>4.单位负责人为同一人或者存在直接控股、管理关系的不同供应商，不得在同一项目中投标。</w:t>
      </w:r>
    </w:p>
    <w:p w14:paraId="237EED0F">
      <w:pPr>
        <w:pStyle w:val="6"/>
        <w:widowControl/>
        <w:spacing w:beforeAutospacing="0" w:afterAutospacing="0"/>
        <w:ind w:firstLine="420"/>
        <w:jc w:val="both"/>
        <w:rPr>
          <w:rFonts w:ascii="仿宋" w:hAnsi="仿宋" w:eastAsia="仿宋" w:cs="仿宋"/>
          <w:color w:val="666666"/>
          <w:shd w:val="clear" w:color="auto" w:fill="FFFFFF"/>
        </w:rPr>
      </w:pPr>
      <w:r>
        <w:rPr>
          <w:rFonts w:ascii="仿宋" w:hAnsi="仿宋" w:eastAsia="仿宋" w:cs="仿宋"/>
          <w:color w:val="666666"/>
          <w:shd w:val="clear" w:color="auto" w:fill="FFFFFF"/>
        </w:rPr>
        <w:t>5.本项目不接受联合体响应。</w:t>
      </w:r>
    </w:p>
    <w:p w14:paraId="446373D5">
      <w:pPr>
        <w:keepNext/>
        <w:keepLines/>
        <w:numPr>
          <w:ilvl w:val="0"/>
          <w:numId w:val="1"/>
        </w:numPr>
        <w:spacing w:before="260" w:after="260" w:line="416" w:lineRule="auto"/>
        <w:outlineLvl w:val="1"/>
        <w:rPr>
          <w:rFonts w:ascii="宋体" w:hAnsi="宋体" w:eastAsia="宋体" w:cs="Times New Roman"/>
          <w:b/>
          <w:bCs/>
          <w:sz w:val="28"/>
          <w:szCs w:val="28"/>
        </w:rPr>
      </w:pPr>
      <w:r>
        <w:rPr>
          <w:rFonts w:ascii="宋体" w:hAnsi="宋体" w:eastAsia="宋体" w:cs="Times New Roman"/>
          <w:b/>
          <w:bCs/>
          <w:sz w:val="28"/>
          <w:szCs w:val="28"/>
        </w:rPr>
        <w:t>比选</w:t>
      </w:r>
      <w:r>
        <w:rPr>
          <w:rFonts w:hint="eastAsia" w:ascii="宋体" w:hAnsi="宋体" w:eastAsia="宋体" w:cs="Times New Roman"/>
          <w:b/>
          <w:bCs/>
          <w:sz w:val="28"/>
          <w:szCs w:val="28"/>
        </w:rPr>
        <w:t>材料</w:t>
      </w:r>
    </w:p>
    <w:p w14:paraId="4AFFA011">
      <w:pPr>
        <w:pStyle w:val="6"/>
        <w:widowControl/>
        <w:spacing w:beforeAutospacing="0" w:afterAutospacing="0" w:line="360" w:lineRule="auto"/>
        <w:ind w:firstLine="420"/>
        <w:jc w:val="both"/>
      </w:pPr>
      <w:r>
        <w:rPr>
          <w:rFonts w:ascii="仿宋" w:hAnsi="仿宋" w:eastAsia="仿宋" w:cs="仿宋"/>
          <w:color w:val="666666"/>
          <w:shd w:val="clear" w:color="auto" w:fill="FFFFFF"/>
        </w:rPr>
        <w:t>1.比选文件：须包含公司简介、营业执照和法人证书复印件（须加盖公章）、资质证书复印件（须加盖公章）、报价函及售后服务文件（须提供原件并加盖公章）并附联系方式。</w:t>
      </w:r>
    </w:p>
    <w:p w14:paraId="08B093BB">
      <w:pPr>
        <w:pStyle w:val="6"/>
        <w:widowControl/>
        <w:spacing w:beforeAutospacing="0" w:afterAutospacing="0" w:line="360" w:lineRule="auto"/>
        <w:ind w:firstLine="420"/>
        <w:jc w:val="both"/>
        <w:rPr>
          <w:rFonts w:ascii="仿宋" w:hAnsi="仿宋" w:eastAsia="仿宋" w:cs="仿宋"/>
          <w:color w:val="666666"/>
          <w:shd w:val="clear" w:color="auto" w:fill="FFFFFF"/>
        </w:rPr>
      </w:pPr>
      <w:r>
        <w:rPr>
          <w:rFonts w:ascii="仿宋" w:hAnsi="仿宋" w:eastAsia="仿宋" w:cs="仿宋"/>
          <w:color w:val="666666"/>
          <w:shd w:val="clear" w:color="auto" w:fill="FFFFFF"/>
        </w:rPr>
        <w:t>2.提交比选申请材料时间：公告日起5个工作日内（含公布日，以邮件到达日期为准），按照报名要求将资料寄送以下地点。</w:t>
      </w:r>
    </w:p>
    <w:p w14:paraId="0CECDA55">
      <w:pPr>
        <w:pStyle w:val="6"/>
        <w:widowControl/>
        <w:numPr>
          <w:ilvl w:val="0"/>
          <w:numId w:val="4"/>
        </w:numPr>
        <w:spacing w:beforeAutospacing="0" w:afterAutospacing="0" w:line="360" w:lineRule="auto"/>
        <w:ind w:firstLine="420"/>
        <w:jc w:val="both"/>
        <w:rPr>
          <w:rFonts w:ascii="仿宋" w:hAnsi="仿宋" w:eastAsia="仿宋" w:cs="仿宋"/>
          <w:color w:val="666666"/>
          <w:shd w:val="clear" w:color="auto" w:fill="FFFFFF"/>
        </w:rPr>
      </w:pPr>
      <w:r>
        <w:rPr>
          <w:rFonts w:ascii="仿宋" w:hAnsi="仿宋" w:eastAsia="仿宋" w:cs="仿宋"/>
          <w:color w:val="666666"/>
          <w:shd w:val="clear" w:color="auto" w:fill="FFFFFF"/>
        </w:rPr>
        <w:t>评标方法：综合打分法</w:t>
      </w:r>
    </w:p>
    <w:p w14:paraId="413F9AB5">
      <w:pPr>
        <w:keepNext/>
        <w:keepLines/>
        <w:numPr>
          <w:ilvl w:val="0"/>
          <w:numId w:val="1"/>
        </w:numPr>
        <w:spacing w:before="260" w:after="260" w:line="416" w:lineRule="auto"/>
        <w:outlineLvl w:val="1"/>
        <w:rPr>
          <w:rFonts w:ascii="宋体" w:hAnsi="宋体" w:eastAsia="宋体" w:cs="Times New Roman"/>
          <w:b/>
          <w:bCs/>
          <w:sz w:val="28"/>
          <w:szCs w:val="28"/>
        </w:rPr>
      </w:pPr>
      <w:r>
        <w:rPr>
          <w:rFonts w:hint="eastAsia" w:ascii="宋体" w:hAnsi="宋体" w:eastAsia="宋体" w:cs="Times New Roman"/>
          <w:b/>
          <w:bCs/>
          <w:sz w:val="28"/>
          <w:szCs w:val="28"/>
        </w:rPr>
        <w:t>评标标准</w:t>
      </w:r>
    </w:p>
    <w:tbl>
      <w:tblPr>
        <w:tblStyle w:val="8"/>
        <w:tblW w:w="855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473"/>
        <w:gridCol w:w="7080"/>
      </w:tblGrid>
      <w:tr w14:paraId="32CF41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65" w:hRule="atLeast"/>
          <w:jc w:val="center"/>
        </w:trPr>
        <w:tc>
          <w:tcPr>
            <w:tcW w:w="1473" w:type="dxa"/>
            <w:tcBorders>
              <w:top w:val="single" w:color="auto" w:sz="8" w:space="0"/>
              <w:left w:val="single" w:color="auto" w:sz="8" w:space="0"/>
              <w:bottom w:val="single" w:color="auto" w:sz="8" w:space="0"/>
              <w:right w:val="single" w:color="auto" w:sz="4" w:space="0"/>
            </w:tcBorders>
            <w:shd w:val="clear" w:color="auto" w:fill="auto"/>
            <w:vAlign w:val="center"/>
          </w:tcPr>
          <w:p w14:paraId="3E58E683">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eastAsia="zh-CN" w:bidi="ar"/>
              </w:rPr>
              <w:t>评分因素</w:t>
            </w:r>
          </w:p>
        </w:tc>
        <w:tc>
          <w:tcPr>
            <w:tcW w:w="7080" w:type="dxa"/>
            <w:tcBorders>
              <w:top w:val="single" w:color="auto" w:sz="8" w:space="0"/>
              <w:left w:val="nil"/>
              <w:bottom w:val="single" w:color="auto" w:sz="8" w:space="0"/>
              <w:right w:val="single" w:color="auto" w:sz="8" w:space="0"/>
            </w:tcBorders>
            <w:shd w:val="clear" w:color="auto" w:fill="auto"/>
            <w:vAlign w:val="center"/>
          </w:tcPr>
          <w:p w14:paraId="3526860B">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b/>
                <w:bCs/>
                <w:kern w:val="0"/>
                <w:sz w:val="24"/>
                <w:szCs w:val="24"/>
                <w:lang w:val="en-US"/>
              </w:rPr>
            </w:pPr>
            <w:r>
              <w:rPr>
                <w:rFonts w:hint="eastAsia" w:ascii="仿宋" w:hAnsi="仿宋" w:eastAsia="仿宋" w:cs="仿宋"/>
                <w:b/>
                <w:bCs/>
                <w:kern w:val="0"/>
                <w:sz w:val="24"/>
                <w:szCs w:val="24"/>
                <w:lang w:val="en-US" w:eastAsia="zh-CN" w:bidi="ar"/>
              </w:rPr>
              <w:t>评分标准</w:t>
            </w:r>
          </w:p>
        </w:tc>
      </w:tr>
      <w:tr w14:paraId="45DA90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8" w:hRule="atLeast"/>
          <w:jc w:val="center"/>
        </w:trPr>
        <w:tc>
          <w:tcPr>
            <w:tcW w:w="1473" w:type="dxa"/>
            <w:tcBorders>
              <w:top w:val="single" w:color="auto" w:sz="8" w:space="0"/>
              <w:left w:val="single" w:color="auto" w:sz="8" w:space="0"/>
              <w:bottom w:val="single" w:color="auto" w:sz="8" w:space="0"/>
              <w:right w:val="single" w:color="auto" w:sz="4" w:space="0"/>
            </w:tcBorders>
            <w:shd w:val="clear" w:color="auto" w:fill="auto"/>
            <w:vAlign w:val="center"/>
          </w:tcPr>
          <w:p w14:paraId="1A312129">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投标报价</w:t>
            </w:r>
          </w:p>
          <w:p w14:paraId="3667344D">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(10分)</w:t>
            </w:r>
          </w:p>
        </w:tc>
        <w:tc>
          <w:tcPr>
            <w:tcW w:w="7080" w:type="dxa"/>
            <w:tcBorders>
              <w:top w:val="single" w:color="auto" w:sz="8" w:space="0"/>
              <w:left w:val="nil"/>
              <w:bottom w:val="single" w:color="auto" w:sz="8" w:space="0"/>
              <w:right w:val="single" w:color="auto" w:sz="8" w:space="0"/>
            </w:tcBorders>
            <w:shd w:val="clear" w:color="auto" w:fill="auto"/>
            <w:vAlign w:val="center"/>
          </w:tcPr>
          <w:p w14:paraId="12315B32">
            <w:pPr>
              <w:keepNext w:val="0"/>
              <w:keepLines w:val="0"/>
              <w:widowControl w:val="0"/>
              <w:suppressLineNumbers w:val="0"/>
              <w:snapToGrid w:val="0"/>
              <w:spacing w:before="0" w:beforeAutospacing="0" w:after="0" w:afterAutospacing="0" w:line="360" w:lineRule="auto"/>
              <w:ind w:left="0" w:right="0"/>
              <w:jc w:val="left"/>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满足招标文件要求且投标价格最低的投标报价为评标基准价，其价格分为满分。其他供应商的价格分统一按照下列公式计算：</w:t>
            </w:r>
          </w:p>
          <w:p w14:paraId="30D19DC4">
            <w:pPr>
              <w:keepNext w:val="0"/>
              <w:keepLines w:val="0"/>
              <w:widowControl w:val="0"/>
              <w:suppressLineNumbers w:val="0"/>
              <w:spacing w:before="0" w:beforeAutospacing="0" w:after="0" w:afterAutospacing="0" w:line="360" w:lineRule="auto"/>
              <w:ind w:left="0" w:right="0"/>
              <w:jc w:val="both"/>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投标报价得分＝（评标基准价/投标报价）×10。</w:t>
            </w:r>
          </w:p>
        </w:tc>
      </w:tr>
      <w:tr w14:paraId="16EF8D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8" w:hRule="atLeast"/>
          <w:jc w:val="center"/>
        </w:trPr>
        <w:tc>
          <w:tcPr>
            <w:tcW w:w="1473" w:type="dxa"/>
            <w:tcBorders>
              <w:top w:val="single" w:color="auto" w:sz="8" w:space="0"/>
              <w:left w:val="single" w:color="auto" w:sz="8" w:space="0"/>
              <w:bottom w:val="single" w:color="auto" w:sz="8" w:space="0"/>
              <w:right w:val="single" w:color="auto" w:sz="4" w:space="0"/>
            </w:tcBorders>
            <w:shd w:val="clear" w:color="auto" w:fill="auto"/>
            <w:vAlign w:val="center"/>
          </w:tcPr>
          <w:p w14:paraId="445D23D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供应商业绩</w:t>
            </w:r>
          </w:p>
          <w:p w14:paraId="665DE33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（15分）</w:t>
            </w:r>
          </w:p>
        </w:tc>
        <w:tc>
          <w:tcPr>
            <w:tcW w:w="7080" w:type="dxa"/>
            <w:tcBorders>
              <w:top w:val="single" w:color="auto" w:sz="8" w:space="0"/>
              <w:left w:val="nil"/>
              <w:bottom w:val="single" w:color="auto" w:sz="8" w:space="0"/>
              <w:right w:val="single" w:color="auto" w:sz="8" w:space="0"/>
            </w:tcBorders>
            <w:shd w:val="clear" w:color="auto" w:fill="auto"/>
            <w:vAlign w:val="center"/>
          </w:tcPr>
          <w:p w14:paraId="2743427C">
            <w:pPr>
              <w:keepNext w:val="0"/>
              <w:keepLines w:val="0"/>
              <w:widowControl/>
              <w:suppressLineNumbers w:val="0"/>
              <w:spacing w:before="0" w:beforeAutospacing="0" w:after="0" w:afterAutospacing="0" w:line="240" w:lineRule="auto"/>
              <w:ind w:left="34" w:right="0" w:firstLine="0" w:firstLineChars="0"/>
              <w:jc w:val="both"/>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近三年(2021年11月至今)，供应商承担的与本项目类似等保测评项目业绩，每提供1份有效的业绩资料得3分，最多得15分。</w:t>
            </w:r>
          </w:p>
          <w:p w14:paraId="6026491C">
            <w:pPr>
              <w:keepNext w:val="0"/>
              <w:keepLines w:val="0"/>
              <w:widowControl/>
              <w:suppressLineNumbers w:val="0"/>
              <w:spacing w:before="0" w:beforeAutospacing="0" w:after="0" w:afterAutospacing="0" w:line="240" w:lineRule="auto"/>
              <w:ind w:left="34" w:right="0" w:firstLine="0" w:firstLineChars="0"/>
              <w:jc w:val="both"/>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供应商须在投标文件中提供近年主要业绩清单，同时在投标文件中提供主要业绩的服务合同复印件（含合同首尾页、盖章页、合同内容等）。</w:t>
            </w:r>
          </w:p>
        </w:tc>
      </w:tr>
      <w:tr w14:paraId="5476F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8" w:hRule="atLeast"/>
          <w:jc w:val="center"/>
        </w:trPr>
        <w:tc>
          <w:tcPr>
            <w:tcW w:w="1473" w:type="dxa"/>
            <w:vMerge w:val="restart"/>
            <w:tcBorders>
              <w:top w:val="single" w:color="auto" w:sz="8" w:space="0"/>
              <w:left w:val="single" w:color="auto" w:sz="8" w:space="0"/>
              <w:bottom w:val="single" w:color="auto" w:sz="8" w:space="0"/>
              <w:right w:val="single" w:color="auto" w:sz="4" w:space="0"/>
            </w:tcBorders>
            <w:shd w:val="clear" w:color="auto" w:fill="auto"/>
            <w:vAlign w:val="center"/>
          </w:tcPr>
          <w:p w14:paraId="31B3C44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履约能力</w:t>
            </w:r>
          </w:p>
          <w:p w14:paraId="794E5F27">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（12分）</w:t>
            </w:r>
          </w:p>
        </w:tc>
        <w:tc>
          <w:tcPr>
            <w:tcW w:w="7080" w:type="dxa"/>
            <w:tcBorders>
              <w:top w:val="single" w:color="auto" w:sz="8" w:space="0"/>
              <w:left w:val="nil"/>
              <w:bottom w:val="single" w:color="auto" w:sz="8" w:space="0"/>
              <w:right w:val="single" w:color="auto" w:sz="8" w:space="0"/>
            </w:tcBorders>
            <w:shd w:val="clear" w:color="auto" w:fill="auto"/>
            <w:vAlign w:val="center"/>
          </w:tcPr>
          <w:p w14:paraId="61448A7B">
            <w:pPr>
              <w:keepNext w:val="0"/>
              <w:keepLines w:val="0"/>
              <w:widowControl/>
              <w:suppressLineNumbers w:val="0"/>
              <w:spacing w:before="0" w:beforeAutospacing="0" w:after="0" w:afterAutospacing="0" w:line="240" w:lineRule="auto"/>
              <w:ind w:left="34" w:right="0" w:firstLine="0" w:firstLineChars="0"/>
              <w:jc w:val="both"/>
              <w:rPr>
                <w:rFonts w:hint="eastAsia" w:ascii="仿宋" w:hAnsi="仿宋" w:eastAsia="仿宋" w:cs="仿宋"/>
                <w:kern w:val="0"/>
                <w:sz w:val="24"/>
                <w:szCs w:val="24"/>
                <w:lang w:val="en-US"/>
              </w:rPr>
            </w:pPr>
            <w:r>
              <w:rPr>
                <w:rFonts w:hint="eastAsia" w:ascii="仿宋" w:hAnsi="仿宋" w:eastAsia="仿宋" w:cs="仿宋"/>
                <w:kern w:val="0"/>
                <w:sz w:val="24"/>
                <w:szCs w:val="24"/>
                <w:lang w:val="en-US" w:eastAsia="zh-CN" w:bidi="ar"/>
              </w:rPr>
              <w:t>供应商应具有有效的网络安全等级测评与检测评估机构服务认证证书，且在有效期内，未被通报整改、暂停资质、吊销等处罚。完全满足上述要求得4分，否则得0分。</w:t>
            </w:r>
          </w:p>
          <w:p w14:paraId="50BE2C07">
            <w:pPr>
              <w:keepNext w:val="0"/>
              <w:keepLines w:val="0"/>
              <w:widowControl/>
              <w:suppressLineNumbers w:val="0"/>
              <w:spacing w:before="0" w:beforeAutospacing="0" w:after="0" w:afterAutospacing="0" w:line="240" w:lineRule="auto"/>
              <w:ind w:left="34" w:right="0" w:firstLine="0" w:firstLineChars="0"/>
              <w:jc w:val="both"/>
              <w:rPr>
                <w:rFonts w:hint="eastAsia" w:ascii="仿宋" w:hAnsi="仿宋" w:eastAsia="仿宋" w:cs="仿宋"/>
                <w:b/>
                <w:bCs w:val="0"/>
                <w:sz w:val="24"/>
                <w:szCs w:val="24"/>
                <w:lang w:val="en-US"/>
              </w:rPr>
            </w:pPr>
            <w:r>
              <w:rPr>
                <w:rFonts w:hint="eastAsia" w:ascii="仿宋" w:hAnsi="仿宋" w:eastAsia="仿宋" w:cs="仿宋"/>
                <w:b/>
                <w:bCs w:val="0"/>
                <w:kern w:val="2"/>
                <w:sz w:val="24"/>
                <w:szCs w:val="24"/>
                <w:lang w:val="en-US" w:eastAsia="zh-CN" w:bidi="ar"/>
              </w:rPr>
              <w:t>注：供应商提供有效的认证证书复印件及“网络安全等级保护网（www.djbh.net）”网站监督管理通报不涉及供应商处罚通知的承诺。</w:t>
            </w:r>
          </w:p>
        </w:tc>
      </w:tr>
      <w:tr w14:paraId="07FB0D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8" w:hRule="atLeast"/>
          <w:jc w:val="center"/>
        </w:trPr>
        <w:tc>
          <w:tcPr>
            <w:tcW w:w="1473" w:type="dxa"/>
            <w:vMerge w:val="continue"/>
            <w:tcBorders>
              <w:top w:val="single" w:color="auto" w:sz="8" w:space="0"/>
              <w:left w:val="single" w:color="auto" w:sz="8" w:space="0"/>
              <w:bottom w:val="single" w:color="auto" w:sz="8" w:space="0"/>
              <w:right w:val="single" w:color="auto" w:sz="4" w:space="0"/>
            </w:tcBorders>
            <w:shd w:val="clear" w:color="auto" w:fill="auto"/>
            <w:vAlign w:val="center"/>
          </w:tcPr>
          <w:p w14:paraId="61DC2611">
            <w:pPr>
              <w:keepNext w:val="0"/>
              <w:keepLines w:val="0"/>
              <w:suppressLineNumbers w:val="0"/>
              <w:spacing w:before="0" w:beforeAutospacing="0" w:after="0" w:afterAutospacing="0" w:line="240" w:lineRule="auto"/>
              <w:ind w:left="0" w:right="0"/>
              <w:rPr>
                <w:rFonts w:hint="eastAsia" w:ascii="仿宋" w:hAnsi="仿宋" w:eastAsia="仿宋" w:cs="仿宋"/>
                <w:sz w:val="24"/>
                <w:szCs w:val="24"/>
              </w:rPr>
            </w:pPr>
          </w:p>
        </w:tc>
        <w:tc>
          <w:tcPr>
            <w:tcW w:w="7080" w:type="dxa"/>
            <w:tcBorders>
              <w:top w:val="single" w:color="auto" w:sz="8" w:space="0"/>
              <w:left w:val="nil"/>
              <w:bottom w:val="single" w:color="auto" w:sz="8" w:space="0"/>
              <w:right w:val="single" w:color="auto" w:sz="8" w:space="0"/>
            </w:tcBorders>
            <w:shd w:val="clear" w:color="auto" w:fill="auto"/>
            <w:vAlign w:val="center"/>
          </w:tcPr>
          <w:p w14:paraId="761D4FD8">
            <w:pPr>
              <w:pStyle w:val="15"/>
              <w:widowControl/>
              <w:spacing w:line="240" w:lineRule="auto"/>
              <w:ind w:left="0" w:firstLine="0"/>
              <w:rPr>
                <w:rFonts w:hint="eastAsia" w:ascii="仿宋" w:hAnsi="仿宋" w:eastAsia="仿宋" w:cs="仿宋"/>
                <w:sz w:val="24"/>
                <w:szCs w:val="24"/>
                <w:lang w:val="en-US"/>
              </w:rPr>
            </w:pPr>
            <w:r>
              <w:rPr>
                <w:rFonts w:hint="eastAsia" w:ascii="仿宋" w:hAnsi="仿宋" w:eastAsia="仿宋" w:cs="仿宋"/>
                <w:sz w:val="24"/>
                <w:szCs w:val="24"/>
              </w:rPr>
              <w:t>具备有效的数据安全服务能力评定资格证书、风险评估资质（中国网络安全审查技术与认证中心）、应急处理资质（中国网络安全审查技术与认证中心）、</w:t>
            </w:r>
            <w:r>
              <w:rPr>
                <w:rFonts w:hint="eastAsia" w:ascii="仿宋" w:hAnsi="仿宋" w:eastAsia="仿宋" w:cs="仿宋"/>
                <w:sz w:val="24"/>
                <w:szCs w:val="24"/>
                <w:lang w:val="en-US"/>
              </w:rPr>
              <w:t>CNAS</w:t>
            </w:r>
            <w:r>
              <w:rPr>
                <w:rFonts w:hint="eastAsia" w:ascii="仿宋" w:hAnsi="仿宋" w:eastAsia="仿宋" w:cs="仿宋"/>
                <w:sz w:val="24"/>
                <w:szCs w:val="24"/>
              </w:rPr>
              <w:t>（检验机构认可证书）、安全运维资质（中国网络安全审查技术与认证中心），每提供一个得</w:t>
            </w:r>
            <w:r>
              <w:rPr>
                <w:rFonts w:hint="eastAsia" w:ascii="仿宋" w:hAnsi="仿宋" w:eastAsia="仿宋" w:cs="仿宋"/>
                <w:sz w:val="24"/>
                <w:szCs w:val="24"/>
                <w:lang w:val="en-US"/>
              </w:rPr>
              <w:t>1</w:t>
            </w:r>
            <w:r>
              <w:rPr>
                <w:rFonts w:hint="eastAsia" w:ascii="仿宋" w:hAnsi="仿宋" w:eastAsia="仿宋" w:cs="仿宋"/>
                <w:sz w:val="24"/>
                <w:szCs w:val="24"/>
              </w:rPr>
              <w:t>分；</w:t>
            </w:r>
            <w:r>
              <w:rPr>
                <w:rFonts w:hint="eastAsia" w:ascii="仿宋" w:hAnsi="仿宋" w:eastAsia="仿宋" w:cs="仿宋"/>
                <w:kern w:val="0"/>
                <w:sz w:val="24"/>
                <w:szCs w:val="24"/>
              </w:rPr>
              <w:t>满分</w:t>
            </w:r>
            <w:r>
              <w:rPr>
                <w:rFonts w:hint="eastAsia" w:ascii="仿宋" w:hAnsi="仿宋" w:eastAsia="仿宋" w:cs="仿宋"/>
                <w:kern w:val="0"/>
                <w:sz w:val="24"/>
                <w:szCs w:val="24"/>
                <w:lang w:val="en-US"/>
              </w:rPr>
              <w:t>5</w:t>
            </w:r>
            <w:r>
              <w:rPr>
                <w:rFonts w:hint="eastAsia" w:ascii="仿宋" w:hAnsi="仿宋" w:eastAsia="仿宋" w:cs="仿宋"/>
                <w:kern w:val="0"/>
                <w:sz w:val="24"/>
                <w:szCs w:val="24"/>
              </w:rPr>
              <w:t>分</w:t>
            </w:r>
            <w:r>
              <w:rPr>
                <w:rFonts w:hint="eastAsia" w:ascii="仿宋" w:hAnsi="仿宋" w:eastAsia="仿宋" w:cs="仿宋"/>
                <w:sz w:val="24"/>
                <w:szCs w:val="24"/>
              </w:rPr>
              <w:t>；不具备或未提供得</w:t>
            </w:r>
            <w:r>
              <w:rPr>
                <w:rFonts w:hint="eastAsia" w:ascii="仿宋" w:hAnsi="仿宋" w:eastAsia="仿宋" w:cs="仿宋"/>
                <w:sz w:val="24"/>
                <w:szCs w:val="24"/>
                <w:lang w:val="en-US"/>
              </w:rPr>
              <w:t>0</w:t>
            </w:r>
            <w:r>
              <w:rPr>
                <w:rFonts w:hint="eastAsia" w:ascii="仿宋" w:hAnsi="仿宋" w:eastAsia="仿宋" w:cs="仿宋"/>
                <w:sz w:val="24"/>
                <w:szCs w:val="24"/>
              </w:rPr>
              <w:t>分。</w:t>
            </w:r>
          </w:p>
        </w:tc>
      </w:tr>
      <w:tr w14:paraId="3721B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8" w:hRule="atLeast"/>
          <w:jc w:val="center"/>
        </w:trPr>
        <w:tc>
          <w:tcPr>
            <w:tcW w:w="1473" w:type="dxa"/>
            <w:vMerge w:val="continue"/>
            <w:tcBorders>
              <w:top w:val="single" w:color="auto" w:sz="8" w:space="0"/>
              <w:left w:val="single" w:color="auto" w:sz="8" w:space="0"/>
              <w:bottom w:val="single" w:color="auto" w:sz="8" w:space="0"/>
              <w:right w:val="single" w:color="auto" w:sz="4" w:space="0"/>
            </w:tcBorders>
            <w:shd w:val="clear" w:color="auto" w:fill="auto"/>
            <w:vAlign w:val="center"/>
          </w:tcPr>
          <w:p w14:paraId="43D36023">
            <w:pPr>
              <w:keepNext w:val="0"/>
              <w:keepLines w:val="0"/>
              <w:suppressLineNumbers w:val="0"/>
              <w:spacing w:before="0" w:beforeAutospacing="0" w:after="0" w:afterAutospacing="0" w:line="240" w:lineRule="auto"/>
              <w:ind w:left="0" w:right="0"/>
              <w:rPr>
                <w:rFonts w:hint="eastAsia" w:ascii="仿宋" w:hAnsi="仿宋" w:eastAsia="仿宋" w:cs="仿宋"/>
                <w:sz w:val="24"/>
                <w:szCs w:val="24"/>
              </w:rPr>
            </w:pPr>
          </w:p>
        </w:tc>
        <w:tc>
          <w:tcPr>
            <w:tcW w:w="7080" w:type="dxa"/>
            <w:tcBorders>
              <w:top w:val="single" w:color="auto" w:sz="8" w:space="0"/>
              <w:left w:val="nil"/>
              <w:bottom w:val="single" w:color="auto" w:sz="8" w:space="0"/>
              <w:right w:val="single" w:color="auto" w:sz="8" w:space="0"/>
            </w:tcBorders>
            <w:shd w:val="clear" w:color="auto" w:fill="auto"/>
            <w:vAlign w:val="center"/>
          </w:tcPr>
          <w:p w14:paraId="24241889">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0"/>
                <w:sz w:val="24"/>
                <w:szCs w:val="24"/>
                <w:lang w:val="en-US" w:eastAsia="zh-CN" w:bidi="ar"/>
              </w:rPr>
              <w:t>供应商具有ISO9001质量管理体系认证证书、ISO27001信息安全管理体系认证证书、ISO20000服务管理体系认证证书有一个证书得1分；满分3分，不具备或未提供得0分。</w:t>
            </w:r>
          </w:p>
        </w:tc>
      </w:tr>
      <w:tr w14:paraId="730964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 w:hRule="atLeast"/>
          <w:jc w:val="center"/>
        </w:trPr>
        <w:tc>
          <w:tcPr>
            <w:tcW w:w="1473" w:type="dxa"/>
            <w:tcBorders>
              <w:top w:val="single" w:color="auto" w:sz="8" w:space="0"/>
              <w:left w:val="single" w:color="auto" w:sz="8" w:space="0"/>
              <w:bottom w:val="single" w:color="auto" w:sz="8" w:space="0"/>
              <w:right w:val="single" w:color="auto" w:sz="4" w:space="0"/>
            </w:tcBorders>
            <w:shd w:val="clear" w:color="auto" w:fill="auto"/>
            <w:vAlign w:val="center"/>
          </w:tcPr>
          <w:p w14:paraId="3B20C6DE">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实施方案</w:t>
            </w:r>
          </w:p>
          <w:p w14:paraId="766E08C9">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（15分）</w:t>
            </w:r>
          </w:p>
        </w:tc>
        <w:tc>
          <w:tcPr>
            <w:tcW w:w="7080" w:type="dxa"/>
            <w:tcBorders>
              <w:top w:val="single" w:color="auto" w:sz="8" w:space="0"/>
              <w:left w:val="nil"/>
              <w:bottom w:val="single" w:color="auto" w:sz="8" w:space="0"/>
              <w:right w:val="single" w:color="auto" w:sz="8" w:space="0"/>
            </w:tcBorders>
            <w:shd w:val="clear" w:color="auto" w:fill="auto"/>
            <w:vAlign w:val="center"/>
          </w:tcPr>
          <w:p w14:paraId="1F752028">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根据供应商针对本项目采购需求制定的实施方案，实施方案安排合理、方案细致、有针对性、切实可行得11-15分；实施方案较合理、方案较为细致且满足需求得6-10分；实施方案安排基本合理、方案较为细致且满足需求得3-5分；实施方案潦草、不具备可行性、难以执行得1-2分；未提供实施方案得0分。</w:t>
            </w:r>
          </w:p>
        </w:tc>
      </w:tr>
      <w:tr w14:paraId="0D2B6B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 w:hRule="atLeast"/>
          <w:jc w:val="center"/>
        </w:trPr>
        <w:tc>
          <w:tcPr>
            <w:tcW w:w="1473" w:type="dxa"/>
            <w:tcBorders>
              <w:top w:val="single" w:color="auto" w:sz="8" w:space="0"/>
              <w:left w:val="single" w:color="auto" w:sz="8" w:space="0"/>
              <w:bottom w:val="single" w:color="auto" w:sz="8" w:space="0"/>
              <w:right w:val="single" w:color="auto" w:sz="4" w:space="0"/>
            </w:tcBorders>
            <w:shd w:val="clear" w:color="auto" w:fill="auto"/>
            <w:vAlign w:val="center"/>
          </w:tcPr>
          <w:p w14:paraId="097A4408">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项目背景和需求理解</w:t>
            </w:r>
          </w:p>
          <w:p w14:paraId="40BDD0D5">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(10分）</w:t>
            </w:r>
          </w:p>
        </w:tc>
        <w:tc>
          <w:tcPr>
            <w:tcW w:w="7080" w:type="dxa"/>
            <w:tcBorders>
              <w:top w:val="single" w:color="auto" w:sz="8" w:space="0"/>
              <w:left w:val="nil"/>
              <w:bottom w:val="single" w:color="auto" w:sz="8" w:space="0"/>
              <w:right w:val="single" w:color="auto" w:sz="8" w:space="0"/>
            </w:tcBorders>
            <w:shd w:val="clear" w:color="auto" w:fill="auto"/>
            <w:vAlign w:val="center"/>
          </w:tcPr>
          <w:p w14:paraId="1DDD9588">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对本项目相关政策背景和现状描述清晰，内容具体、符合采购人实际需求得9-10分；</w:t>
            </w:r>
          </w:p>
          <w:p w14:paraId="67D0D4A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对采购人现状描述较清晰，内容较具体、基本符合采购人实际需求，得6-8分；</w:t>
            </w:r>
          </w:p>
          <w:p w14:paraId="16DC2420">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对采购人现状描述一般，内容简单、无法保证采购人实际需求，得3-5分；对本项目现状描述不清晰，内容不具体、无法满足采购人实际需求，得1-2分；</w:t>
            </w:r>
          </w:p>
          <w:p w14:paraId="0EFD9F26">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未提供得0分。</w:t>
            </w:r>
          </w:p>
        </w:tc>
      </w:tr>
      <w:tr w14:paraId="50D95A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 w:hRule="atLeast"/>
          <w:jc w:val="center"/>
        </w:trPr>
        <w:tc>
          <w:tcPr>
            <w:tcW w:w="1473" w:type="dxa"/>
            <w:tcBorders>
              <w:top w:val="single" w:color="auto" w:sz="8" w:space="0"/>
              <w:left w:val="single" w:color="auto" w:sz="8" w:space="0"/>
              <w:bottom w:val="single" w:color="auto" w:sz="8" w:space="0"/>
              <w:right w:val="single" w:color="auto" w:sz="4" w:space="0"/>
            </w:tcBorders>
            <w:shd w:val="clear" w:color="auto" w:fill="auto"/>
            <w:vAlign w:val="center"/>
          </w:tcPr>
          <w:p w14:paraId="67D11BC9">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测评质量保障方案</w:t>
            </w:r>
          </w:p>
          <w:p w14:paraId="538E1B9F">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（10分）</w:t>
            </w:r>
          </w:p>
        </w:tc>
        <w:tc>
          <w:tcPr>
            <w:tcW w:w="7080" w:type="dxa"/>
            <w:tcBorders>
              <w:top w:val="single" w:color="auto" w:sz="8" w:space="0"/>
              <w:left w:val="nil"/>
              <w:bottom w:val="single" w:color="auto" w:sz="8" w:space="0"/>
              <w:right w:val="single" w:color="auto" w:sz="8" w:space="0"/>
            </w:tcBorders>
            <w:shd w:val="clear" w:color="auto" w:fill="auto"/>
            <w:vAlign w:val="center"/>
          </w:tcPr>
          <w:p w14:paraId="1CC4235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测评质量保障方案完整全面、风险控制精准得9-10分；</w:t>
            </w:r>
          </w:p>
          <w:p w14:paraId="52E8338C">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方案较完整全面、风险控制较准确得6-8分；</w:t>
            </w:r>
          </w:p>
          <w:p w14:paraId="4E0C0B5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方案基本完整全面、风险控制基本准确得3-5分；</w:t>
            </w:r>
          </w:p>
          <w:p w14:paraId="711C4A73">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方案有缺陷、风险控制不足得1-2分；</w:t>
            </w:r>
          </w:p>
          <w:p w14:paraId="6C68044F">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未提供质量保障方案得0分。</w:t>
            </w:r>
          </w:p>
        </w:tc>
      </w:tr>
      <w:tr w14:paraId="1CF8B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6" w:hRule="atLeast"/>
          <w:jc w:val="center"/>
        </w:trPr>
        <w:tc>
          <w:tcPr>
            <w:tcW w:w="1473" w:type="dxa"/>
            <w:tcBorders>
              <w:top w:val="single" w:color="auto" w:sz="8" w:space="0"/>
              <w:left w:val="single" w:color="auto" w:sz="8" w:space="0"/>
              <w:bottom w:val="single" w:color="auto" w:sz="8" w:space="0"/>
              <w:right w:val="single" w:color="auto" w:sz="4" w:space="0"/>
            </w:tcBorders>
            <w:shd w:val="clear" w:color="auto" w:fill="auto"/>
            <w:vAlign w:val="center"/>
          </w:tcPr>
          <w:p w14:paraId="5250AC20">
            <w:pPr>
              <w:keepNext w:val="0"/>
              <w:keepLines w:val="0"/>
              <w:widowControl w:val="0"/>
              <w:suppressLineNumbers w:val="0"/>
              <w:spacing w:before="0" w:beforeAutospacing="0" w:after="0" w:afterAutospacing="0" w:line="24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进度管理方案（5分）</w:t>
            </w:r>
          </w:p>
        </w:tc>
        <w:tc>
          <w:tcPr>
            <w:tcW w:w="7080" w:type="dxa"/>
            <w:tcBorders>
              <w:top w:val="single" w:color="auto" w:sz="8" w:space="0"/>
              <w:left w:val="nil"/>
              <w:bottom w:val="single" w:color="auto" w:sz="8" w:space="0"/>
              <w:right w:val="single" w:color="auto" w:sz="8" w:space="0"/>
            </w:tcBorders>
            <w:shd w:val="clear" w:color="auto" w:fill="auto"/>
            <w:vAlign w:val="center"/>
          </w:tcPr>
          <w:p w14:paraId="6602A28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项目进度管理方案内容完整、进度控制合理、可实施性强得4-5分；</w:t>
            </w:r>
          </w:p>
          <w:p w14:paraId="60A4BC5A">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方案内容较完整、进度控制基本满足需求、可实施性一般得2-3分；</w:t>
            </w:r>
          </w:p>
          <w:p w14:paraId="2FC17AFD">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方案内容欠完整、进度控制不合理，无法保障实施得1分；</w:t>
            </w:r>
          </w:p>
          <w:p w14:paraId="6E82D569">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未提供进度管理方案得0分。。</w:t>
            </w:r>
          </w:p>
        </w:tc>
      </w:tr>
      <w:tr w14:paraId="422F7B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1473" w:type="dxa"/>
            <w:vMerge w:val="restart"/>
            <w:tcBorders>
              <w:top w:val="nil"/>
              <w:left w:val="single" w:color="auto" w:sz="8" w:space="0"/>
              <w:bottom w:val="single" w:color="auto" w:sz="8" w:space="0"/>
              <w:right w:val="single" w:color="auto" w:sz="4" w:space="0"/>
            </w:tcBorders>
            <w:shd w:val="clear" w:color="auto" w:fill="auto"/>
            <w:vAlign w:val="center"/>
          </w:tcPr>
          <w:p w14:paraId="25DBF28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拟派本项目人员团队情况（15）</w:t>
            </w:r>
          </w:p>
        </w:tc>
        <w:tc>
          <w:tcPr>
            <w:tcW w:w="7080" w:type="dxa"/>
            <w:tcBorders>
              <w:top w:val="single" w:color="auto" w:sz="8" w:space="0"/>
              <w:left w:val="nil"/>
              <w:bottom w:val="single" w:color="auto" w:sz="4" w:space="0"/>
              <w:right w:val="single" w:color="auto" w:sz="8" w:space="0"/>
            </w:tcBorders>
            <w:shd w:val="clear" w:color="auto" w:fill="auto"/>
            <w:vAlign w:val="center"/>
          </w:tcPr>
          <w:p w14:paraId="68BB9C06">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项目经理具备信息安全等级测评师证书（高级）或网络安全等级测评师证书（高级）的，得</w:t>
            </w:r>
            <w:r>
              <w:rPr>
                <w:rFonts w:hint="default" w:ascii="仿宋" w:hAnsi="仿宋" w:eastAsia="仿宋" w:cs="仿宋"/>
                <w:kern w:val="2"/>
                <w:sz w:val="24"/>
                <w:szCs w:val="24"/>
                <w:lang w:val="en-US" w:eastAsia="zh-CN" w:bidi="ar"/>
              </w:rPr>
              <w:t>3</w:t>
            </w:r>
            <w:r>
              <w:rPr>
                <w:rFonts w:hint="eastAsia" w:ascii="仿宋" w:hAnsi="仿宋" w:eastAsia="仿宋" w:cs="仿宋"/>
                <w:kern w:val="2"/>
                <w:sz w:val="24"/>
                <w:szCs w:val="24"/>
                <w:lang w:val="en-US" w:eastAsia="zh-CN" w:bidi="ar"/>
              </w:rPr>
              <w:t>分。</w:t>
            </w:r>
          </w:p>
          <w:p w14:paraId="328F2871">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注：须提供有效证书电子件，否则不予认可。上述项目经理和项目团队成员需提供投标人近两个月为其缴纳的个人社保证明。</w:t>
            </w:r>
          </w:p>
        </w:tc>
      </w:tr>
      <w:tr w14:paraId="7375D5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 w:hRule="atLeast"/>
          <w:jc w:val="center"/>
        </w:trPr>
        <w:tc>
          <w:tcPr>
            <w:tcW w:w="1473" w:type="dxa"/>
            <w:vMerge w:val="continue"/>
            <w:tcBorders>
              <w:top w:val="nil"/>
              <w:left w:val="single" w:color="auto" w:sz="8" w:space="0"/>
              <w:bottom w:val="single" w:color="auto" w:sz="8" w:space="0"/>
              <w:right w:val="single" w:color="auto" w:sz="4" w:space="0"/>
            </w:tcBorders>
            <w:shd w:val="clear" w:color="auto" w:fill="auto"/>
            <w:vAlign w:val="center"/>
          </w:tcPr>
          <w:p w14:paraId="06D5B27C">
            <w:pPr>
              <w:keepNext w:val="0"/>
              <w:keepLines w:val="0"/>
              <w:suppressLineNumbers w:val="0"/>
              <w:spacing w:before="0" w:beforeAutospacing="0" w:after="0" w:afterAutospacing="0" w:line="240" w:lineRule="auto"/>
              <w:ind w:left="0" w:right="0"/>
              <w:rPr>
                <w:rFonts w:hint="eastAsia" w:ascii="仿宋" w:hAnsi="仿宋" w:eastAsia="仿宋" w:cs="仿宋"/>
                <w:sz w:val="24"/>
                <w:szCs w:val="24"/>
              </w:rPr>
            </w:pPr>
          </w:p>
        </w:tc>
        <w:tc>
          <w:tcPr>
            <w:tcW w:w="7080" w:type="dxa"/>
            <w:tcBorders>
              <w:top w:val="single" w:color="auto" w:sz="4" w:space="0"/>
              <w:left w:val="nil"/>
              <w:bottom w:val="single" w:color="auto" w:sz="4" w:space="0"/>
              <w:right w:val="single" w:color="auto" w:sz="8" w:space="0"/>
            </w:tcBorders>
            <w:shd w:val="clear" w:color="auto" w:fill="auto"/>
            <w:vAlign w:val="center"/>
          </w:tcPr>
          <w:p w14:paraId="379EC7D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投标人提供的项目团队（不含项目经理）不少于</w:t>
            </w:r>
            <w:r>
              <w:rPr>
                <w:rFonts w:hint="default" w:ascii="仿宋" w:hAnsi="仿宋" w:eastAsia="仿宋" w:cs="仿宋"/>
                <w:kern w:val="2"/>
                <w:sz w:val="24"/>
                <w:szCs w:val="24"/>
                <w:lang w:val="en-US" w:eastAsia="zh-CN" w:bidi="ar"/>
              </w:rPr>
              <w:t>25</w:t>
            </w:r>
            <w:r>
              <w:rPr>
                <w:rFonts w:hint="eastAsia" w:ascii="仿宋" w:hAnsi="仿宋" w:eastAsia="仿宋" w:cs="仿宋"/>
                <w:kern w:val="2"/>
                <w:sz w:val="24"/>
                <w:szCs w:val="24"/>
                <w:lang w:val="en-US" w:eastAsia="zh-CN" w:bidi="ar"/>
              </w:rPr>
              <w:t>人的前提下，不少于</w:t>
            </w:r>
            <w:r>
              <w:rPr>
                <w:rFonts w:hint="default" w:ascii="仿宋" w:hAnsi="仿宋" w:eastAsia="仿宋" w:cs="仿宋"/>
                <w:kern w:val="2"/>
                <w:sz w:val="24"/>
                <w:szCs w:val="24"/>
                <w:lang w:val="en-US" w:eastAsia="zh-CN" w:bidi="ar"/>
              </w:rPr>
              <w:t>20</w:t>
            </w:r>
            <w:r>
              <w:rPr>
                <w:rFonts w:hint="eastAsia" w:ascii="仿宋" w:hAnsi="仿宋" w:eastAsia="仿宋" w:cs="仿宋"/>
                <w:kern w:val="2"/>
                <w:sz w:val="24"/>
                <w:szCs w:val="24"/>
                <w:lang w:val="en-US" w:eastAsia="zh-CN" w:bidi="ar"/>
              </w:rPr>
              <w:t>人具有信息安全等级测评师或网络安全等级测评师证书（中级及以上）证书的，得8分；</w:t>
            </w:r>
            <w:r>
              <w:rPr>
                <w:rFonts w:hint="default" w:ascii="仿宋" w:hAnsi="仿宋" w:eastAsia="仿宋" w:cs="仿宋"/>
                <w:kern w:val="2"/>
                <w:sz w:val="24"/>
                <w:szCs w:val="24"/>
                <w:lang w:val="en-US" w:eastAsia="zh-CN" w:bidi="ar"/>
              </w:rPr>
              <w:t>10</w:t>
            </w:r>
            <w:r>
              <w:rPr>
                <w:rFonts w:hint="eastAsia" w:ascii="仿宋" w:hAnsi="仿宋" w:eastAsia="仿宋" w:cs="仿宋"/>
                <w:kern w:val="2"/>
                <w:sz w:val="24"/>
                <w:szCs w:val="24"/>
                <w:lang w:val="en-US" w:eastAsia="zh-CN" w:bidi="ar"/>
              </w:rPr>
              <w:t>（含）</w:t>
            </w:r>
            <w:r>
              <w:rPr>
                <w:rFonts w:hint="default" w:ascii="仿宋" w:hAnsi="仿宋" w:eastAsia="仿宋" w:cs="仿宋"/>
                <w:kern w:val="2"/>
                <w:sz w:val="24"/>
                <w:szCs w:val="24"/>
                <w:lang w:val="en-US" w:eastAsia="zh-CN" w:bidi="ar"/>
              </w:rPr>
              <w:t>-19</w:t>
            </w:r>
            <w:r>
              <w:rPr>
                <w:rFonts w:hint="eastAsia" w:ascii="仿宋" w:hAnsi="仿宋" w:eastAsia="仿宋" w:cs="仿宋"/>
                <w:kern w:val="2"/>
                <w:sz w:val="24"/>
                <w:szCs w:val="24"/>
                <w:lang w:val="en-US" w:eastAsia="zh-CN" w:bidi="ar"/>
              </w:rPr>
              <w:t>（含）人具有信息安全等级测评师或网络安全等级测评师证书（中级及以上）证书的，得4分；</w:t>
            </w:r>
            <w:r>
              <w:rPr>
                <w:rFonts w:hint="default" w:ascii="仿宋" w:hAnsi="仿宋" w:eastAsia="仿宋" w:cs="仿宋"/>
                <w:kern w:val="2"/>
                <w:sz w:val="24"/>
                <w:szCs w:val="24"/>
                <w:lang w:val="en-US" w:eastAsia="zh-CN" w:bidi="ar"/>
              </w:rPr>
              <w:t>5</w:t>
            </w:r>
            <w:r>
              <w:rPr>
                <w:rFonts w:hint="eastAsia" w:ascii="仿宋" w:hAnsi="仿宋" w:eastAsia="仿宋" w:cs="仿宋"/>
                <w:kern w:val="2"/>
                <w:sz w:val="24"/>
                <w:szCs w:val="24"/>
                <w:lang w:val="en-US" w:eastAsia="zh-CN" w:bidi="ar"/>
              </w:rPr>
              <w:t>（含）</w:t>
            </w:r>
            <w:r>
              <w:rPr>
                <w:rFonts w:hint="default" w:ascii="仿宋" w:hAnsi="仿宋" w:eastAsia="仿宋" w:cs="仿宋"/>
                <w:kern w:val="2"/>
                <w:sz w:val="24"/>
                <w:szCs w:val="24"/>
                <w:lang w:val="en-US" w:eastAsia="zh-CN" w:bidi="ar"/>
              </w:rPr>
              <w:t>-9</w:t>
            </w:r>
            <w:r>
              <w:rPr>
                <w:rFonts w:hint="eastAsia" w:ascii="仿宋" w:hAnsi="仿宋" w:eastAsia="仿宋" w:cs="仿宋"/>
                <w:kern w:val="2"/>
                <w:sz w:val="24"/>
                <w:szCs w:val="24"/>
                <w:lang w:val="en-US" w:eastAsia="zh-CN" w:bidi="ar"/>
              </w:rPr>
              <w:t>（含）人具有信息安全等级测评师或网络安全等级测评师证书（中级及以上）证书的，得</w:t>
            </w:r>
            <w:r>
              <w:rPr>
                <w:rFonts w:hint="default" w:ascii="仿宋" w:hAnsi="仿宋" w:eastAsia="仿宋" w:cs="仿宋"/>
                <w:kern w:val="2"/>
                <w:sz w:val="24"/>
                <w:szCs w:val="24"/>
                <w:lang w:val="en-US" w:eastAsia="zh-CN" w:bidi="ar"/>
              </w:rPr>
              <w:t>1</w:t>
            </w:r>
            <w:r>
              <w:rPr>
                <w:rFonts w:hint="eastAsia" w:ascii="仿宋" w:hAnsi="仿宋" w:eastAsia="仿宋" w:cs="仿宋"/>
                <w:kern w:val="2"/>
                <w:sz w:val="24"/>
                <w:szCs w:val="24"/>
                <w:lang w:val="en-US" w:eastAsia="zh-CN" w:bidi="ar"/>
              </w:rPr>
              <w:t>分。</w:t>
            </w:r>
          </w:p>
          <w:p w14:paraId="32DEF299">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注：须提供有效证书电子件，否则不予认可。上述项目经理和项目团队成员需提供投标人近两个月为其缴纳的个人社保证明。</w:t>
            </w:r>
          </w:p>
        </w:tc>
      </w:tr>
      <w:tr w14:paraId="4EFA32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 w:hRule="atLeast"/>
          <w:jc w:val="center"/>
        </w:trPr>
        <w:tc>
          <w:tcPr>
            <w:tcW w:w="1473" w:type="dxa"/>
            <w:vMerge w:val="continue"/>
            <w:tcBorders>
              <w:top w:val="nil"/>
              <w:left w:val="single" w:color="auto" w:sz="8" w:space="0"/>
              <w:bottom w:val="single" w:color="auto" w:sz="8" w:space="0"/>
              <w:right w:val="single" w:color="auto" w:sz="4" w:space="0"/>
            </w:tcBorders>
            <w:shd w:val="clear" w:color="auto" w:fill="auto"/>
            <w:vAlign w:val="center"/>
          </w:tcPr>
          <w:p w14:paraId="657D62B8">
            <w:pPr>
              <w:keepNext w:val="0"/>
              <w:keepLines w:val="0"/>
              <w:suppressLineNumbers w:val="0"/>
              <w:spacing w:before="0" w:beforeAutospacing="0" w:after="0" w:afterAutospacing="0" w:line="240" w:lineRule="auto"/>
              <w:ind w:left="0" w:right="0"/>
              <w:rPr>
                <w:rFonts w:hint="eastAsia" w:ascii="仿宋" w:hAnsi="仿宋" w:eastAsia="仿宋" w:cs="仿宋"/>
                <w:sz w:val="24"/>
                <w:szCs w:val="24"/>
              </w:rPr>
            </w:pPr>
          </w:p>
        </w:tc>
        <w:tc>
          <w:tcPr>
            <w:tcW w:w="7080" w:type="dxa"/>
            <w:tcBorders>
              <w:top w:val="single" w:color="auto" w:sz="4" w:space="0"/>
              <w:left w:val="nil"/>
              <w:bottom w:val="single" w:color="auto" w:sz="4" w:space="0"/>
              <w:right w:val="single" w:color="auto" w:sz="8" w:space="0"/>
            </w:tcBorders>
            <w:shd w:val="clear" w:color="auto" w:fill="auto"/>
            <w:vAlign w:val="center"/>
          </w:tcPr>
          <w:p w14:paraId="5D8E0752">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投标人提供的项目团队（不含项目经理）中每有</w:t>
            </w:r>
            <w:r>
              <w:rPr>
                <w:rFonts w:hint="default" w:ascii="仿宋" w:hAnsi="仿宋" w:eastAsia="仿宋" w:cs="仿宋"/>
                <w:kern w:val="2"/>
                <w:sz w:val="24"/>
                <w:szCs w:val="24"/>
                <w:lang w:val="en-US" w:eastAsia="zh-CN" w:bidi="ar"/>
              </w:rPr>
              <w:t>1</w:t>
            </w:r>
            <w:r>
              <w:rPr>
                <w:rFonts w:hint="eastAsia" w:ascii="仿宋" w:hAnsi="仿宋" w:eastAsia="仿宋" w:cs="仿宋"/>
                <w:kern w:val="2"/>
                <w:sz w:val="24"/>
                <w:szCs w:val="24"/>
                <w:lang w:val="en-US" w:eastAsia="zh-CN" w:bidi="ar"/>
              </w:rPr>
              <w:t>人具有信息安全等级测评师或网络安全等级测评师证书（高级）证书的，加</w:t>
            </w:r>
            <w:r>
              <w:rPr>
                <w:rFonts w:hint="default" w:ascii="仿宋" w:hAnsi="仿宋" w:eastAsia="仿宋" w:cs="仿宋"/>
                <w:kern w:val="2"/>
                <w:sz w:val="24"/>
                <w:szCs w:val="24"/>
                <w:lang w:val="en-US" w:eastAsia="zh-CN" w:bidi="ar"/>
              </w:rPr>
              <w:t>2</w:t>
            </w:r>
            <w:r>
              <w:rPr>
                <w:rFonts w:hint="eastAsia" w:ascii="仿宋" w:hAnsi="仿宋" w:eastAsia="仿宋" w:cs="仿宋"/>
                <w:kern w:val="2"/>
                <w:sz w:val="24"/>
                <w:szCs w:val="24"/>
                <w:lang w:val="en-US" w:eastAsia="zh-CN" w:bidi="ar"/>
              </w:rPr>
              <w:t>分，最多加</w:t>
            </w:r>
            <w:r>
              <w:rPr>
                <w:rFonts w:hint="default" w:ascii="仿宋" w:hAnsi="仿宋" w:eastAsia="仿宋" w:cs="仿宋"/>
                <w:kern w:val="2"/>
                <w:sz w:val="24"/>
                <w:szCs w:val="24"/>
                <w:lang w:val="en-US" w:eastAsia="zh-CN" w:bidi="ar"/>
              </w:rPr>
              <w:t>4</w:t>
            </w:r>
            <w:r>
              <w:rPr>
                <w:rFonts w:hint="eastAsia" w:ascii="仿宋" w:hAnsi="仿宋" w:eastAsia="仿宋" w:cs="仿宋"/>
                <w:kern w:val="2"/>
                <w:sz w:val="24"/>
                <w:szCs w:val="24"/>
                <w:lang w:val="en-US" w:eastAsia="zh-CN" w:bidi="ar"/>
              </w:rPr>
              <w:t>分。</w:t>
            </w:r>
          </w:p>
          <w:p w14:paraId="6941643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注：须提供有效证书电子件，否则不予认可。上述项目经理和项目团队成员需提供投标人近两个月为其缴纳的个人社保证明。</w:t>
            </w:r>
          </w:p>
        </w:tc>
      </w:tr>
      <w:tr w14:paraId="54EFC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6" w:hRule="atLeast"/>
          <w:jc w:val="center"/>
        </w:trPr>
        <w:tc>
          <w:tcPr>
            <w:tcW w:w="1473" w:type="dxa"/>
            <w:tcBorders>
              <w:top w:val="single" w:color="auto" w:sz="8" w:space="0"/>
              <w:left w:val="single" w:color="auto" w:sz="8" w:space="0"/>
              <w:bottom w:val="single" w:color="auto" w:sz="8" w:space="0"/>
              <w:right w:val="single" w:color="auto" w:sz="4" w:space="0"/>
            </w:tcBorders>
            <w:shd w:val="clear" w:color="auto" w:fill="auto"/>
            <w:vAlign w:val="center"/>
          </w:tcPr>
          <w:p w14:paraId="55ABE7C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服务措施及承诺</w:t>
            </w:r>
          </w:p>
          <w:p w14:paraId="6848120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（8分）</w:t>
            </w:r>
          </w:p>
        </w:tc>
        <w:tc>
          <w:tcPr>
            <w:tcW w:w="7080" w:type="dxa"/>
            <w:tcBorders>
              <w:top w:val="single" w:color="auto" w:sz="4" w:space="0"/>
              <w:left w:val="nil"/>
              <w:bottom w:val="single" w:color="auto" w:sz="4" w:space="0"/>
              <w:right w:val="single" w:color="auto" w:sz="8" w:space="0"/>
            </w:tcBorders>
            <w:shd w:val="clear" w:color="auto" w:fill="auto"/>
            <w:vAlign w:val="center"/>
          </w:tcPr>
          <w:p w14:paraId="7F5495D2">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服务措施及承诺满足采购人要求，服务体系完善、服务内容优越、维护体系健全、技术支持保障到位得8-5分；</w:t>
            </w:r>
          </w:p>
          <w:p w14:paraId="1E7D6925">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服务措施及承诺基本满足采购人要求，服务体系、服务内容、维护体系、技术支持保障基本满足得4-1分；</w:t>
            </w:r>
          </w:p>
          <w:p w14:paraId="12AE056F">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不满足或未提供相关内容得0分。</w:t>
            </w:r>
          </w:p>
        </w:tc>
      </w:tr>
    </w:tbl>
    <w:p w14:paraId="6B68DC93">
      <w:pPr>
        <w:rPr>
          <w:rFonts w:ascii="宋体" w:hAnsi="宋体"/>
          <w:b/>
          <w:sz w:val="36"/>
          <w:szCs w:val="36"/>
        </w:rPr>
      </w:pPr>
    </w:p>
    <w:p w14:paraId="723EB917">
      <w:pPr>
        <w:rPr>
          <w:rFonts w:ascii="宋体" w:hAnsi="宋体"/>
          <w:b/>
          <w:sz w:val="36"/>
          <w:szCs w:val="36"/>
        </w:rPr>
        <w:sectPr>
          <w:pgSz w:w="12240" w:h="15840"/>
          <w:pgMar w:top="1440" w:right="1800" w:bottom="1440" w:left="1800" w:header="720" w:footer="720" w:gutter="0"/>
          <w:cols w:space="720" w:num="1"/>
          <w:docGrid w:type="lines" w:linePitch="312" w:charSpace="0"/>
        </w:sectPr>
      </w:pPr>
    </w:p>
    <w:p w14:paraId="55FA61BD">
      <w:pPr>
        <w:keepNext/>
        <w:keepLines/>
        <w:numPr>
          <w:ilvl w:val="0"/>
          <w:numId w:val="1"/>
        </w:numPr>
        <w:spacing w:before="260" w:after="260" w:line="416" w:lineRule="auto"/>
        <w:outlineLvl w:val="1"/>
        <w:rPr>
          <w:rFonts w:ascii="宋体" w:hAnsi="宋体" w:eastAsia="宋体" w:cs="Times New Roman"/>
          <w:b/>
          <w:bCs/>
          <w:sz w:val="28"/>
          <w:szCs w:val="28"/>
        </w:rPr>
      </w:pPr>
      <w:r>
        <w:rPr>
          <w:rFonts w:hint="eastAsia" w:ascii="宋体" w:hAnsi="宋体" w:eastAsia="宋体" w:cs="Times New Roman"/>
          <w:b/>
          <w:bCs/>
          <w:sz w:val="28"/>
          <w:szCs w:val="28"/>
        </w:rPr>
        <w:t>比选材料递交</w:t>
      </w:r>
    </w:p>
    <w:p w14:paraId="11BC318B">
      <w:pPr>
        <w:pStyle w:val="6"/>
        <w:widowControl/>
        <w:numPr>
          <w:ilvl w:val="1"/>
          <w:numId w:val="5"/>
        </w:numPr>
        <w:spacing w:beforeAutospacing="0" w:afterAutospacing="0" w:line="360" w:lineRule="auto"/>
        <w:jc w:val="both"/>
        <w:rPr>
          <w:rFonts w:cs="仿宋" w:asciiTheme="minorEastAsia" w:hAnsiTheme="minorEastAsia"/>
          <w:color w:val="000000" w:themeColor="text1"/>
          <w:shd w:val="clear" w:color="auto" w:fill="FFFFFF"/>
          <w14:textFill>
            <w14:solidFill>
              <w14:schemeClr w14:val="tx1"/>
            </w14:solidFill>
          </w14:textFill>
        </w:rPr>
      </w:pPr>
      <w:r>
        <w:rPr>
          <w:rFonts w:cs="仿宋" w:asciiTheme="minorEastAsia" w:hAnsiTheme="minorEastAsia"/>
          <w:color w:val="000000" w:themeColor="text1"/>
          <w:shd w:val="clear" w:color="auto" w:fill="FFFFFF"/>
          <w14:textFill>
            <w14:solidFill>
              <w14:schemeClr w14:val="tx1"/>
            </w14:solidFill>
          </w14:textFill>
        </w:rPr>
        <w:t>送交地址：</w:t>
      </w:r>
      <w:r>
        <w:rPr>
          <w:rFonts w:hint="eastAsia" w:ascii="仿宋" w:hAnsi="仿宋" w:eastAsia="仿宋" w:cs="仿宋"/>
          <w:color w:val="666666"/>
          <w:sz w:val="24"/>
          <w:szCs w:val="24"/>
          <w:shd w:val="clear" w:fill="FFFFFF"/>
          <w:lang w:val="en-US" w:eastAsia="zh-CN"/>
          <w14:textFill>
            <w14:gradFill>
              <w14:gsLst>
                <w14:gs w14:pos="0">
                  <w14:srgbClr w14:val="E30000"/>
                </w14:gs>
                <w14:gs w14:pos="100000">
                  <w14:srgbClr w14:val="760303"/>
                </w14:gs>
              </w14:gsLst>
              <w14:lin w14:scaled="0"/>
            </w14:gradFill>
          </w14:textFill>
        </w:rPr>
        <w:t>北京市东单三条九号</w:t>
      </w:r>
      <w:r>
        <w:rPr>
          <w:rFonts w:hint="default" w:ascii="仿宋" w:hAnsi="仿宋" w:eastAsia="仿宋" w:cs="仿宋"/>
          <w:color w:val="666666"/>
          <w:sz w:val="24"/>
          <w:szCs w:val="24"/>
          <w:shd w:val="clear" w:fill="FFFFFF"/>
          <w14:textFill>
            <w14:gradFill>
              <w14:gsLst>
                <w14:gs w14:pos="0">
                  <w14:srgbClr w14:val="E30000"/>
                </w14:gs>
                <w14:gs w14:pos="100000">
                  <w14:srgbClr w14:val="760303"/>
                </w14:gs>
              </w14:gsLst>
              <w14:lin w14:scaled="0"/>
            </w14:gradFill>
          </w14:textFill>
        </w:rPr>
        <w:t>吴宪大楼805会议室</w:t>
      </w:r>
    </w:p>
    <w:p w14:paraId="33D007AE">
      <w:pPr>
        <w:pStyle w:val="6"/>
        <w:widowControl/>
        <w:numPr>
          <w:ilvl w:val="1"/>
          <w:numId w:val="5"/>
        </w:numPr>
        <w:spacing w:beforeAutospacing="0" w:afterAutospacing="0" w:line="360" w:lineRule="auto"/>
        <w:jc w:val="both"/>
        <w:rPr>
          <w:rFonts w:cs="仿宋" w:asciiTheme="minorEastAsia" w:hAnsiTheme="minorEastAsia"/>
          <w:color w:val="262626" w:themeColor="text1" w:themeTint="D9"/>
          <w:shd w:val="clear" w:color="auto" w:fill="FFFFFF"/>
          <w14:textFill>
            <w14:solidFill>
              <w14:schemeClr w14:val="tx1">
                <w14:lumMod w14:val="85000"/>
                <w14:lumOff w14:val="15000"/>
              </w14:schemeClr>
            </w14:solidFill>
          </w14:textFill>
        </w:rPr>
      </w:pPr>
      <w:r>
        <w:rPr>
          <w:rFonts w:hint="eastAsia" w:cs="仿宋" w:asciiTheme="minorEastAsia" w:hAnsiTheme="minorEastAsia"/>
          <w:color w:val="000000" w:themeColor="text1"/>
          <w:shd w:val="clear" w:color="auto" w:fill="FFFFFF"/>
          <w:lang w:val="en-US" w:eastAsia="zh-CN"/>
          <w14:textFill>
            <w14:solidFill>
              <w14:schemeClr w14:val="tx1"/>
            </w14:solidFill>
          </w14:textFill>
        </w:rPr>
        <w:t>响应文件递交</w:t>
      </w:r>
      <w:r>
        <w:rPr>
          <w:rFonts w:cs="仿宋" w:asciiTheme="minorEastAsia" w:hAnsiTheme="minorEastAsia"/>
          <w:color w:val="000000" w:themeColor="text1"/>
          <w:shd w:val="clear" w:color="auto" w:fill="FFFFFF"/>
          <w14:textFill>
            <w14:solidFill>
              <w14:schemeClr w14:val="tx1"/>
            </w14:solidFill>
          </w14:textFill>
        </w:rPr>
        <w:t>时间：</w:t>
      </w:r>
      <w:r>
        <w:rPr>
          <w:rFonts w:hint="eastAsia" w:cs="仿宋" w:asciiTheme="minorEastAsia" w:hAnsiTheme="minorEastAsia"/>
          <w:color w:val="262626" w:themeColor="text1" w:themeTint="D9"/>
          <w:shd w:val="clear" w:color="auto" w:fill="FFFFFF"/>
          <w:lang w:val="en-US" w:eastAsia="zh-CN"/>
          <w14:textFill>
            <w14:solidFill>
              <w14:schemeClr w14:val="tx1">
                <w14:lumMod w14:val="85000"/>
                <w14:lumOff w14:val="15000"/>
              </w14:schemeClr>
            </w14:solidFill>
          </w14:textFill>
        </w:rPr>
        <w:t>2024年11月12日</w:t>
      </w:r>
    </w:p>
    <w:p w14:paraId="2521D950">
      <w:pPr>
        <w:pStyle w:val="6"/>
        <w:widowControl/>
        <w:numPr>
          <w:ilvl w:val="1"/>
          <w:numId w:val="5"/>
        </w:numPr>
        <w:spacing w:beforeAutospacing="0" w:afterAutospacing="0" w:line="360" w:lineRule="auto"/>
        <w:jc w:val="both"/>
        <w:rPr>
          <w:rFonts w:cs="仿宋" w:asciiTheme="minorEastAsia" w:hAnsiTheme="minorEastAsia"/>
          <w:color w:val="000000" w:themeColor="text1"/>
          <w:shd w:val="clear" w:color="auto" w:fill="FFFFFF"/>
          <w14:textFill>
            <w14:solidFill>
              <w14:schemeClr w14:val="tx1"/>
            </w14:solidFill>
          </w14:textFill>
        </w:rPr>
      </w:pPr>
      <w:r>
        <w:rPr>
          <w:rFonts w:cs="仿宋" w:asciiTheme="minorEastAsia" w:hAnsiTheme="minorEastAsia"/>
          <w:color w:val="000000" w:themeColor="text1"/>
          <w:shd w:val="clear" w:color="auto" w:fill="FFFFFF"/>
          <w14:textFill>
            <w14:solidFill>
              <w14:schemeClr w14:val="tx1"/>
            </w14:solidFill>
          </w14:textFill>
        </w:rPr>
        <w:t>比选地点：</w:t>
      </w:r>
    </w:p>
    <w:p w14:paraId="7BD1A63D">
      <w:pPr>
        <w:pStyle w:val="6"/>
        <w:widowControl/>
        <w:spacing w:beforeAutospacing="0" w:afterAutospacing="0" w:line="360" w:lineRule="auto"/>
        <w:ind w:firstLine="420"/>
        <w:jc w:val="both"/>
        <w:rPr>
          <w:rFonts w:asciiTheme="minorEastAsia" w:hAnsiTheme="minorEastAsia"/>
          <w:color w:val="000000" w:themeColor="text1"/>
          <w14:textFill>
            <w14:solidFill>
              <w14:schemeClr w14:val="tx1"/>
            </w14:solidFill>
          </w14:textFill>
        </w:rPr>
      </w:pPr>
      <w:r>
        <w:rPr>
          <w:rFonts w:cs="仿宋" w:asciiTheme="minorEastAsia" w:hAnsiTheme="minorEastAsia"/>
          <w:color w:val="000000" w:themeColor="text1"/>
          <w:shd w:val="clear" w:color="auto" w:fill="FFFFFF"/>
          <w14:textFill>
            <w14:solidFill>
              <w14:schemeClr w14:val="tx1"/>
            </w14:solidFill>
          </w14:textFill>
        </w:rPr>
        <w:t>本项目比选过程以递交的参选文件为准进行评审，不需要供应商现场汇报。逾期送达或不符合规定的参选文件恕不接受。</w:t>
      </w:r>
    </w:p>
    <w:p w14:paraId="66E08696">
      <w:pPr>
        <w:pStyle w:val="6"/>
        <w:widowControl/>
        <w:numPr>
          <w:ilvl w:val="1"/>
          <w:numId w:val="5"/>
        </w:numPr>
        <w:spacing w:beforeAutospacing="0" w:afterAutospacing="0" w:line="360" w:lineRule="auto"/>
        <w:jc w:val="both"/>
        <w:rPr>
          <w:rFonts w:cs="仿宋" w:asciiTheme="minorEastAsia" w:hAnsiTheme="minorEastAsia"/>
          <w:color w:val="000000" w:themeColor="text1"/>
          <w:shd w:val="clear" w:color="auto" w:fill="FFFFFF"/>
          <w14:textFill>
            <w14:solidFill>
              <w14:schemeClr w14:val="tx1"/>
            </w14:solidFill>
          </w14:textFill>
        </w:rPr>
      </w:pPr>
      <w:r>
        <w:rPr>
          <w:rFonts w:cs="仿宋" w:asciiTheme="minorEastAsia" w:hAnsiTheme="minorEastAsia"/>
          <w:color w:val="000000" w:themeColor="text1"/>
          <w:shd w:val="clear" w:color="auto" w:fill="FFFFFF"/>
          <w14:textFill>
            <w14:solidFill>
              <w14:schemeClr w14:val="tx1"/>
            </w14:solidFill>
          </w14:textFill>
        </w:rPr>
        <w:t>联系</w:t>
      </w:r>
      <w:r>
        <w:rPr>
          <w:rFonts w:hint="eastAsia" w:cs="仿宋" w:asciiTheme="minorEastAsia" w:hAnsiTheme="minorEastAsia"/>
          <w:color w:val="000000" w:themeColor="text1"/>
          <w:shd w:val="clear" w:color="auto" w:fill="FFFFFF"/>
          <w14:textFill>
            <w14:solidFill>
              <w14:schemeClr w14:val="tx1"/>
            </w14:solidFill>
          </w14:textFill>
        </w:rPr>
        <w:t>方式</w:t>
      </w:r>
    </w:p>
    <w:p w14:paraId="05A6B3A9">
      <w:pPr>
        <w:pStyle w:val="5"/>
        <w:bidi w:val="0"/>
        <w:rPr>
          <w:rFonts w:hint="eastAsia"/>
          <w:lang w:val="en-US" w:eastAsia="zh-CN"/>
        </w:rPr>
      </w:pPr>
      <w:r>
        <w:t>联系人：</w:t>
      </w:r>
      <w:r>
        <w:rPr>
          <w:rFonts w:hint="eastAsia"/>
          <w:lang w:val="en-US" w:eastAsia="zh-CN"/>
        </w:rPr>
        <w:t>唐菲</w:t>
      </w:r>
    </w:p>
    <w:p w14:paraId="206B8E23">
      <w:pPr>
        <w:pStyle w:val="5"/>
        <w:bidi w:val="0"/>
        <w:rPr>
          <w:rFonts w:hint="default" w:eastAsiaTheme="minorEastAsia"/>
          <w:lang w:val="en-US" w:eastAsia="zh-CN"/>
        </w:rPr>
      </w:pPr>
      <w:r>
        <w:t>联系电话：</w:t>
      </w:r>
      <w:r>
        <w:rPr>
          <w:rFonts w:hint="eastAsia"/>
          <w:lang w:val="en-US" w:eastAsia="zh-CN"/>
        </w:rPr>
        <w:t>65105819</w:t>
      </w:r>
    </w:p>
    <w:p w14:paraId="598D94BA">
      <w:pPr>
        <w:pStyle w:val="6"/>
        <w:widowControl/>
        <w:spacing w:beforeAutospacing="0" w:afterAutospacing="0"/>
        <w:ind w:firstLine="420"/>
        <w:jc w:val="both"/>
        <w:rPr>
          <w:rFonts w:ascii="仿宋" w:hAnsi="仿宋" w:eastAsia="仿宋" w:cs="仿宋"/>
          <w:color w:val="666666"/>
          <w:shd w:val="clear" w:color="auto" w:fill="FFFFFF"/>
        </w:rPr>
      </w:pPr>
    </w:p>
    <w:p w14:paraId="154DC357">
      <w:pPr>
        <w:pStyle w:val="6"/>
        <w:widowControl/>
        <w:spacing w:beforeAutospacing="0" w:afterAutospacing="0" w:line="360" w:lineRule="auto"/>
        <w:ind w:firstLine="2880"/>
        <w:jc w:val="right"/>
        <w:rPr>
          <w:rFonts w:ascii="仿宋" w:hAnsi="仿宋" w:eastAsia="仿宋" w:cs="仿宋"/>
          <w:b/>
          <w:bCs/>
          <w:color w:val="666666"/>
          <w:shd w:val="clear" w:color="auto" w:fill="FFFFFF"/>
        </w:rPr>
      </w:pPr>
    </w:p>
    <w:p w14:paraId="7DA58B76">
      <w:pPr>
        <w:pStyle w:val="6"/>
        <w:widowControl/>
        <w:spacing w:beforeAutospacing="0" w:afterAutospacing="0" w:line="360" w:lineRule="auto"/>
        <w:ind w:firstLine="2880"/>
        <w:jc w:val="right"/>
        <w:rPr>
          <w:rFonts w:hint="eastAsia" w:cs="仿宋" w:asciiTheme="minorEastAsia" w:hAnsiTheme="minorEastAsia" w:eastAsiaTheme="minorEastAsia"/>
          <w:color w:val="000000" w:themeColor="text1"/>
          <w:shd w:val="clear" w:color="auto" w:fill="FFFFFF"/>
          <w:lang w:eastAsia="zh-CN"/>
          <w14:textFill>
            <w14:solidFill>
              <w14:schemeClr w14:val="tx1"/>
            </w14:solidFill>
          </w14:textFill>
        </w:rPr>
      </w:pPr>
      <w:r>
        <w:rPr>
          <w:rFonts w:hint="eastAsia" w:cs="仿宋" w:asciiTheme="minorEastAsia" w:hAnsiTheme="minorEastAsia"/>
          <w:color w:val="000000" w:themeColor="text1"/>
          <w:shd w:val="clear" w:color="auto" w:fill="FFFFFF"/>
          <w:lang w:eastAsia="zh-CN"/>
          <w14:textFill>
            <w14:solidFill>
              <w14:schemeClr w14:val="tx1"/>
            </w14:solidFill>
          </w14:textFill>
        </w:rPr>
        <w:t>北京协和医学院</w:t>
      </w:r>
    </w:p>
    <w:p w14:paraId="56653F36">
      <w:pPr>
        <w:pStyle w:val="6"/>
        <w:widowControl/>
        <w:spacing w:beforeAutospacing="0" w:afterAutospacing="0" w:line="360" w:lineRule="auto"/>
        <w:ind w:firstLine="2880"/>
        <w:jc w:val="right"/>
      </w:pPr>
      <w:r>
        <w:rPr>
          <w:rFonts w:ascii="仿宋" w:hAnsi="仿宋" w:eastAsia="仿宋" w:cs="仿宋"/>
          <w:color w:val="666666"/>
          <w:shd w:val="clear" w:color="auto" w:fill="FFFFFF"/>
        </w:rPr>
        <w:t>202</w:t>
      </w:r>
      <w:r>
        <w:rPr>
          <w:rFonts w:hint="eastAsia" w:ascii="仿宋" w:hAnsi="仿宋" w:eastAsia="仿宋" w:cs="仿宋"/>
          <w:color w:val="666666"/>
          <w:shd w:val="clear" w:color="auto" w:fill="FFFFFF"/>
        </w:rPr>
        <w:t>4</w:t>
      </w:r>
      <w:r>
        <w:rPr>
          <w:rFonts w:ascii="仿宋" w:hAnsi="仿宋" w:eastAsia="仿宋" w:cs="仿宋"/>
          <w:color w:val="666666"/>
          <w:shd w:val="clear" w:color="auto" w:fill="FFFFFF"/>
        </w:rPr>
        <w:t>年</w:t>
      </w:r>
      <w:r>
        <w:rPr>
          <w:rFonts w:hint="eastAsia" w:ascii="仿宋" w:hAnsi="仿宋" w:eastAsia="仿宋" w:cs="仿宋"/>
          <w:color w:val="666666"/>
          <w:shd w:val="clear" w:color="auto" w:fill="FFFFFF"/>
          <w:lang w:val="en-US" w:eastAsia="zh-CN"/>
        </w:rPr>
        <w:t>11</w:t>
      </w:r>
      <w:r>
        <w:rPr>
          <w:rFonts w:ascii="仿宋" w:hAnsi="仿宋" w:eastAsia="仿宋" w:cs="仿宋"/>
          <w:color w:val="666666"/>
          <w:shd w:val="clear" w:color="auto" w:fill="FFFFFF"/>
        </w:rPr>
        <w:t>月</w:t>
      </w:r>
      <w:r>
        <w:rPr>
          <w:rFonts w:hint="eastAsia" w:ascii="仿宋" w:hAnsi="仿宋" w:eastAsia="仿宋" w:cs="仿宋"/>
          <w:color w:val="666666"/>
          <w:shd w:val="clear" w:color="auto" w:fill="FFFFFF"/>
          <w:lang w:val="en-US" w:eastAsia="zh-CN"/>
        </w:rPr>
        <w:t>7</w:t>
      </w:r>
      <w:r>
        <w:rPr>
          <w:rFonts w:ascii="仿宋" w:hAnsi="仿宋" w:eastAsia="仿宋" w:cs="仿宋"/>
          <w:color w:val="666666"/>
          <w:shd w:val="clear" w:color="auto" w:fill="FFFFFF"/>
        </w:rPr>
        <w:t>日</w:t>
      </w:r>
      <w:bookmarkStart w:id="0" w:name="_GoBack"/>
      <w:bookmarkEnd w:id="0"/>
    </w:p>
    <w:p w14:paraId="58438ACC">
      <w:pPr>
        <w:widowControl/>
        <w:jc w:val="left"/>
      </w:pPr>
    </w:p>
    <w:p w14:paraId="5748AF19"/>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荣 王" w:date="2024-10-16T15:00:00Z" w:initials="荣王">
    <w:p w14:paraId="7EEDF875">
      <w:pPr>
        <w:jc w:val="left"/>
      </w:pPr>
      <w:r>
        <w:rPr>
          <w:rFonts w:hint="eastAsia"/>
          <w:color w:val="000000"/>
        </w:rPr>
        <w:t>输入联系方式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EDF87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662D"/>
    <w:multiLevelType w:val="singleLevel"/>
    <w:tmpl w:val="FBFF662D"/>
    <w:lvl w:ilvl="0" w:tentative="0">
      <w:start w:val="1"/>
      <w:numFmt w:val="decimal"/>
      <w:lvlText w:val="%1."/>
      <w:lvlJc w:val="left"/>
      <w:pPr>
        <w:ind w:left="425" w:hanging="425"/>
      </w:pPr>
      <w:rPr>
        <w:rFonts w:hint="default"/>
      </w:rPr>
    </w:lvl>
  </w:abstractNum>
  <w:abstractNum w:abstractNumId="1">
    <w:nsid w:val="005F5CC6"/>
    <w:multiLevelType w:val="multilevel"/>
    <w:tmpl w:val="005F5CC6"/>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BFCEB6"/>
    <w:multiLevelType w:val="singleLevel"/>
    <w:tmpl w:val="37BFCEB6"/>
    <w:lvl w:ilvl="0" w:tentative="0">
      <w:start w:val="1"/>
      <w:numFmt w:val="decimal"/>
      <w:lvlText w:val="%1)"/>
      <w:lvlJc w:val="left"/>
      <w:pPr>
        <w:ind w:left="425" w:hanging="425"/>
      </w:pPr>
      <w:rPr>
        <w:rFonts w:hint="default"/>
      </w:rPr>
    </w:lvl>
  </w:abstractNum>
  <w:abstractNum w:abstractNumId="3">
    <w:nsid w:val="633474CE"/>
    <w:multiLevelType w:val="singleLevel"/>
    <w:tmpl w:val="633474CE"/>
    <w:lvl w:ilvl="0" w:tentative="0">
      <w:start w:val="3"/>
      <w:numFmt w:val="decimal"/>
      <w:suff w:val="nothing"/>
      <w:lvlText w:val="%1."/>
      <w:lvlJc w:val="left"/>
    </w:lvl>
  </w:abstractNum>
  <w:abstractNum w:abstractNumId="4">
    <w:nsid w:val="6FEC7912"/>
    <w:multiLevelType w:val="multilevel"/>
    <w:tmpl w:val="6FEC7912"/>
    <w:lvl w:ilvl="0" w:tentative="0">
      <w:start w:val="6"/>
      <w:numFmt w:val="decimal"/>
      <w:lvlText w:val="%1-"/>
      <w:lvlJc w:val="left"/>
      <w:pPr>
        <w:ind w:left="425" w:hanging="425"/>
      </w:pPr>
      <w:rPr>
        <w:rFonts w:hint="default"/>
      </w:rPr>
    </w:lvl>
    <w:lvl w:ilvl="1" w:tentative="0">
      <w:start w:val="1"/>
      <w:numFmt w:val="decimal"/>
      <w:lvlText w:val="%1.%2"/>
      <w:lvlJc w:val="left"/>
      <w:pPr>
        <w:ind w:left="567" w:hanging="567"/>
      </w:pPr>
      <w:rPr>
        <w:rFonts w:hint="default" w:ascii="Times New Roman" w:hAnsi="Times New Roman" w:cs="Times New Roman"/>
        <w:sz w:val="24"/>
        <w:szCs w:val="24"/>
      </w:rPr>
    </w:lvl>
    <w:lvl w:ilvl="2" w:tentative="0">
      <w:start w:val="1"/>
      <w:numFmt w:val="decimal"/>
      <w:lvlText w:val="%1.%2.%3."/>
      <w:lvlJc w:val="left"/>
      <w:pPr>
        <w:ind w:left="709" w:hanging="709"/>
      </w:pPr>
      <w:rPr>
        <w:rFonts w:hint="default" w:ascii="Times New Roman" w:hAnsi="Times New Roman" w:cs="Times New Roman"/>
      </w:rPr>
    </w:lvl>
    <w:lvl w:ilvl="3" w:tentative="0">
      <w:start w:val="1"/>
      <w:numFmt w:val="decimal"/>
      <w:lvlText w:val="%1.%2.%3.%4."/>
      <w:lvlJc w:val="left"/>
      <w:pPr>
        <w:ind w:left="851" w:hanging="851"/>
      </w:pPr>
      <w:rPr>
        <w:rFonts w:hint="default" w:ascii="Times New Roman" w:hAnsi="Times New Roman" w:cs="Times New Roman"/>
      </w:rPr>
    </w:lvl>
    <w:lvl w:ilvl="4" w:tentative="0">
      <w:start w:val="1"/>
      <w:numFmt w:val="decimal"/>
      <w:lvlText w:val="%1.%2.%3.%4.%5."/>
      <w:lvlJc w:val="left"/>
      <w:pPr>
        <w:ind w:left="992" w:hanging="992"/>
      </w:pPr>
      <w:rPr>
        <w:rFonts w:hint="default" w:ascii="Times New Roman" w:hAnsi="Times New Roman" w:cs="Times New Roman"/>
        <w:sz w:val="24"/>
        <w:szCs w:val="24"/>
      </w:rPr>
    </w:lvl>
    <w:lvl w:ilvl="5" w:tentative="0">
      <w:start w:val="1"/>
      <w:numFmt w:val="decimal"/>
      <w:lvlText w:val="%1.%2.%3.%4.%5.%6."/>
      <w:lvlJc w:val="left"/>
      <w:pPr>
        <w:ind w:left="1134" w:hanging="1134"/>
      </w:pPr>
      <w:rPr>
        <w:rFonts w:hint="default" w:ascii="Times New Roman" w:hAnsi="Times New Roman" w:cs="Times New Roman"/>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1"/>
  </w:num>
  <w:num w:numId="2">
    <w:abstractNumId w:val="0"/>
  </w:num>
  <w:num w:numId="3">
    <w:abstractNumId w:val="2"/>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荣 王">
    <w15:presenceInfo w15:providerId="Windows Live" w15:userId="9a50fc22b7cdf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2NmFjMTUzNGE0NGMxZmEyZTY3M2MyNDE4OWJkZDQifQ=="/>
  </w:docVars>
  <w:rsids>
    <w:rsidRoot w:val="74F7F041"/>
    <w:rsid w:val="00094FBE"/>
    <w:rsid w:val="001802B5"/>
    <w:rsid w:val="008A0B36"/>
    <w:rsid w:val="00A9337B"/>
    <w:rsid w:val="00AD1CCB"/>
    <w:rsid w:val="00D95126"/>
    <w:rsid w:val="00DA4BA8"/>
    <w:rsid w:val="00EA614B"/>
    <w:rsid w:val="00FB393B"/>
    <w:rsid w:val="08B54472"/>
    <w:rsid w:val="37FF70A4"/>
    <w:rsid w:val="3CFFD8EB"/>
    <w:rsid w:val="47A83821"/>
    <w:rsid w:val="5F670A19"/>
    <w:rsid w:val="62957E19"/>
    <w:rsid w:val="637A12C2"/>
    <w:rsid w:val="675EE991"/>
    <w:rsid w:val="74F7F041"/>
    <w:rsid w:val="7A0778E7"/>
    <w:rsid w:val="7EF9DA6E"/>
    <w:rsid w:val="7F77F179"/>
    <w:rsid w:val="9E6BA590"/>
    <w:rsid w:val="BD7EEA1B"/>
    <w:rsid w:val="CF7FBD38"/>
    <w:rsid w:val="CFFF9A5B"/>
    <w:rsid w:val="EAB7CF6B"/>
    <w:rsid w:val="EF4F1208"/>
    <w:rsid w:val="F0FDBC37"/>
    <w:rsid w:val="FF97CF0B"/>
    <w:rsid w:val="FFFE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unhideWhenUsed/>
    <w:qFormat/>
    <w:uiPriority w:val="9"/>
    <w:pPr>
      <w:keepNext/>
      <w:keepLines/>
      <w:widowControl/>
      <w:suppressLineNumbers w:val="0"/>
      <w:spacing w:before="260" w:beforeAutospacing="0" w:after="260" w:afterAutospacing="0" w:line="410" w:lineRule="auto"/>
      <w:ind w:left="0" w:right="0"/>
      <w:jc w:val="both"/>
      <w:outlineLvl w:val="1"/>
    </w:pPr>
    <w:rPr>
      <w:rFonts w:ascii="Arial" w:hAnsi="Arial" w:eastAsia="宋体" w:cs="Times New Roman"/>
      <w:kern w:val="0"/>
      <w:sz w:val="28"/>
      <w:szCs w:val="20"/>
      <w:lang w:val="en-US" w:eastAsia="zh-CN" w:bidi="ar"/>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3"/>
    <w:qFormat/>
    <w:uiPriority w:val="0"/>
    <w:pPr>
      <w:jc w:val="left"/>
    </w:pPr>
  </w:style>
  <w:style w:type="paragraph" w:styleId="5">
    <w:name w:val="Body Text"/>
    <w:basedOn w:val="1"/>
    <w:next w:val="1"/>
    <w:qFormat/>
    <w:uiPriority w:val="0"/>
    <w:pPr>
      <w:tabs>
        <w:tab w:val="left" w:pos="567"/>
      </w:tabs>
      <w:spacing w:before="120" w:line="22" w:lineRule="atLeast"/>
    </w:pPr>
    <w:rPr>
      <w:rFonts w:ascii="宋体" w:hAnsi="宋体"/>
      <w:sz w:val="24"/>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4"/>
    <w:next w:val="4"/>
    <w:link w:val="14"/>
    <w:qFormat/>
    <w:uiPriority w:val="0"/>
    <w:rPr>
      <w:b/>
      <w:bCs/>
    </w:rPr>
  </w:style>
  <w:style w:type="character" w:styleId="10">
    <w:name w:val="annotation reference"/>
    <w:basedOn w:val="9"/>
    <w:uiPriority w:val="0"/>
    <w:rPr>
      <w:sz w:val="21"/>
      <w:szCs w:val="21"/>
    </w:rPr>
  </w:style>
  <w:style w:type="paragraph" w:customStyle="1" w:styleId="11">
    <w:name w:val="列表段落1"/>
    <w:basedOn w:val="1"/>
    <w:qFormat/>
    <w:uiPriority w:val="99"/>
    <w:pPr>
      <w:ind w:firstLine="420" w:firstLineChars="200"/>
    </w:pPr>
  </w:style>
  <w:style w:type="paragraph" w:customStyle="1" w:styleId="12">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3">
    <w:name w:val="批注文字 字符"/>
    <w:basedOn w:val="9"/>
    <w:link w:val="4"/>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7"/>
    <w:uiPriority w:val="0"/>
    <w:rPr>
      <w:rFonts w:asciiTheme="minorHAnsi" w:hAnsiTheme="minorHAnsi" w:eastAsiaTheme="minorEastAsia" w:cstheme="minorBidi"/>
      <w:b/>
      <w:bCs/>
      <w:kern w:val="2"/>
      <w:sz w:val="21"/>
      <w:szCs w:val="24"/>
    </w:rPr>
  </w:style>
  <w:style w:type="paragraph" w:customStyle="1" w:styleId="15">
    <w:name w:val="正文1"/>
    <w:basedOn w:val="1"/>
    <w:qFormat/>
    <w:uiPriority w:val="0"/>
    <w:pPr>
      <w:keepNext w:val="0"/>
      <w:keepLines w:val="0"/>
      <w:widowControl w:val="0"/>
      <w:suppressLineNumbers w:val="0"/>
      <w:spacing w:before="0" w:beforeAutospacing="0" w:after="0" w:afterAutospacing="0"/>
      <w:ind w:left="0" w:right="0" w:firstLine="482"/>
      <w:jc w:val="both"/>
    </w:pPr>
    <w:rPr>
      <w:rFonts w:hint="default" w:ascii="Times New Roman" w:hAnsi="Times New Roman" w:eastAsia="宋体" w:cs="Times New Roman"/>
      <w:kern w:val="2"/>
      <w:sz w:val="24"/>
      <w:szCs w:val="24"/>
      <w:lang w:val="en-US" w:eastAsia="zh-CN" w:bidi="ar"/>
    </w:rPr>
  </w:style>
  <w:style w:type="character" w:customStyle="1" w:styleId="16">
    <w:name w:val="标题 2 字符"/>
    <w:basedOn w:val="9"/>
    <w:link w:val="2"/>
    <w:uiPriority w:val="0"/>
    <w:rPr>
      <w:rFonts w:hint="default" w:ascii="Arial" w:hAnsi="Arial" w:eastAsia="宋体" w:cs="Arial"/>
      <w:sz w:val="28"/>
      <w:lang w:val="zh-C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4439</Words>
  <Characters>4687</Characters>
  <Lines>23</Lines>
  <Paragraphs>6</Paragraphs>
  <TotalTime>179</TotalTime>
  <ScaleCrop>false</ScaleCrop>
  <LinksUpToDate>false</LinksUpToDate>
  <CharactersWithSpaces>4762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2022-10-01T06:27:00Z</dcterms:created>
  <dc:creator>wwr</dc:creator>
  <cp:lastModifiedBy>唐菲</cp:lastModifiedBy>
  <dcterms:modified xsi:type="dcterms:W3CDTF">2024-11-07T06:20:36Z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7B71A021AF60425C9917AA1928555AE4_13</vt:lpwstr>
  </property>
</Properties>
</file>