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评分标准</w:t>
      </w:r>
    </w:p>
    <w:p>
      <w:pPr>
        <w:pStyle w:val="3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采用综合评分法，满分为100分。</w:t>
      </w:r>
    </w:p>
    <w:tbl>
      <w:tblPr>
        <w:tblStyle w:val="31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333"/>
        <w:gridCol w:w="4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-178" w:leftChars="-85" w:right="-107" w:rightChars="-51" w:firstLine="141" w:firstLineChars="50"/>
              <w:jc w:val="center"/>
              <w:rPr>
                <w:rFonts w:hint="default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b/>
                <w:color w:val="000000"/>
                <w:sz w:val="28"/>
                <w:szCs w:val="28"/>
              </w:rPr>
              <w:t>评分因素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-107" w:rightChars="-51"/>
              <w:jc w:val="center"/>
              <w:rPr>
                <w:rFonts w:hint="default" w:eastAsia="仿宋_GB2312"/>
                <w:b/>
                <w:sz w:val="28"/>
                <w:szCs w:val="28"/>
              </w:rPr>
            </w:pPr>
            <w:r>
              <w:rPr>
                <w:rFonts w:hint="default" w:eastAsia="仿宋_GB2312"/>
                <w:b/>
                <w:sz w:val="28"/>
                <w:szCs w:val="28"/>
              </w:rPr>
              <w:t>具 体 标 准</w:t>
            </w:r>
          </w:p>
        </w:tc>
        <w:tc>
          <w:tcPr>
            <w:tcW w:w="2522" w:type="pct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740"/>
              </w:tabs>
              <w:spacing w:before="0" w:beforeAutospacing="0" w:after="0" w:afterAutospacing="0"/>
              <w:ind w:left="0" w:right="-136" w:rightChars="-65"/>
              <w:jc w:val="center"/>
              <w:rPr>
                <w:rFonts w:hint="default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eastAsia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资质要求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分 </w:t>
            </w:r>
          </w:p>
        </w:tc>
        <w:tc>
          <w:tcPr>
            <w:tcW w:w="2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投标人须具备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特种工程（特种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防雷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专业施工资质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安全生产许可证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类似业绩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最近3年（提供2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月至今的类似业绩）有与本项目类似项目案例，每个案例得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分，最多得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分。（投标人需要提供合同首页、双方盖章页，复印件并加盖投标人公章）。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人员配置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负责人具备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机电工程二级注册建造师及以上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资质，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施工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人员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相关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专业资质，提供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证件复印件并加盖公章。提供得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分，不提供不得分。提供项目团队配备的合理性、专业性和相关工作经验等内容，包括但不限于团队人员、工作年限、专业等基本情况，资格证书，相关工作经验等内容。优得</w:t>
            </w:r>
            <w:r>
              <w:rPr>
                <w:rFonts w:hint="eastAsia" w:eastAsia="仿宋_GB2312"/>
                <w:strike w:val="0"/>
                <w:dstrike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分；良得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分；一般得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实施方案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0分</w:t>
            </w:r>
          </w:p>
        </w:tc>
        <w:tc>
          <w:tcPr>
            <w:tcW w:w="252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1、实施方案措施详细、完善、合理并满足采购需求，得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-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0分；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2、实施方案措施较详细、合理并基本满足采购需求，得10-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3、实施方案措施不详细、不满足采购需求，得5-10分；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4、未提供，得0分。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服务承诺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2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针对本项目提供有价值的服务承诺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或增值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服务的</w:t>
            </w: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（如工程量清单外维修、提供附属建筑物防雷系统检测等）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 xml:space="preserve">，每提出 1 项得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 xml:space="preserve"> 分，最多得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比选报价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252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价格分统一采用低价优先法计算，即满足比选文件要求且最终报价最低的报价为评审基准价，其价格分为满分。其他参选人的价格分按照下列公式计算：报价得分=（评审基准价∕最终报价）×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合  计</w:t>
            </w:r>
          </w:p>
        </w:tc>
        <w:tc>
          <w:tcPr>
            <w:tcW w:w="120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100分</w:t>
            </w:r>
          </w:p>
        </w:tc>
        <w:tc>
          <w:tcPr>
            <w:tcW w:w="252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rPr>
                <w:rFonts w:hint="default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bCs/>
          <w:spacing w:val="20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spacing w:val="20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bCs/>
          <w:spacing w:val="20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黑体" w:hAnsi="宋体" w:eastAsia="黑体"/>
          <w:b/>
          <w:bCs/>
          <w:spacing w:val="20"/>
          <w:sz w:val="44"/>
          <w:szCs w:val="44"/>
        </w:rPr>
      </w:pPr>
    </w:p>
    <w:p>
      <w:pPr>
        <w:jc w:val="center"/>
        <w:rPr>
          <w:rFonts w:ascii="宋体" w:hAnsi="宋体"/>
          <w:bCs/>
          <w:color w:val="00B0F0"/>
          <w:sz w:val="36"/>
          <w:szCs w:val="36"/>
        </w:rPr>
      </w:pPr>
      <w:r>
        <w:rPr>
          <w:rFonts w:hint="eastAsia" w:ascii="黑体" w:hAnsi="宋体" w:eastAsia="黑体"/>
          <w:b/>
          <w:bCs/>
          <w:spacing w:val="20"/>
          <w:sz w:val="44"/>
          <w:szCs w:val="44"/>
        </w:rPr>
        <w:t>防雷</w:t>
      </w:r>
      <w:r>
        <w:rPr>
          <w:rFonts w:hint="eastAsia" w:ascii="黑体" w:hAnsi="宋体" w:eastAsia="黑体"/>
          <w:b/>
          <w:bCs/>
          <w:spacing w:val="20"/>
          <w:sz w:val="44"/>
          <w:szCs w:val="44"/>
          <w:lang w:eastAsia="zh-CN"/>
        </w:rPr>
        <w:t>系统维修工程量清单</w:t>
      </w: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1、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吴宪大楼</w:t>
      </w:r>
    </w:p>
    <w:tbl>
      <w:tblPr>
        <w:tblStyle w:val="31"/>
        <w:tblW w:w="10102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15"/>
        <w:gridCol w:w="816"/>
        <w:gridCol w:w="984"/>
        <w:gridCol w:w="983"/>
        <w:gridCol w:w="1467"/>
        <w:gridCol w:w="160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材料项目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工程量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施工方式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达到效果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二级浪涌保护器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UC：385V IN：20KA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Imax：40KA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UP;≤1.2KV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电梯机房更换损坏避雷器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将线路上的瞬间过电压限制到一个安全的水平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测试其主要性能参数(如 Uc、In、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Imax、Iimp、Up 等)和安装工艺(连接导体的材质和导线截面，连接导线的色标，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接线连接牢固程度)是否符合标准，整体最大放电电流：8/20μs 、40KA；电压保护级别：≤1.5KV。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浪涌保护器前置空气开关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C32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电梯机房配电箱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配合浪涌保护器工作，保证浪涌保护器处于正常工作状态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利用万用表、电笔等测试其主要性能参数，安全等级及过流电阻是否正常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一级浪涌保护器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UC:275V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In:50KA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Iimp:50KA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UP:≤2.5KV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总配电室配电柜内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将线路上的瞬间过电压限制到一个安全的水平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测试其主要性能参数(如 Uc、In、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Imax、Iimp、Up 等)和安装工艺(连接导体的材质和导线截面，连接导线的色标，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接线连接牢固程度)是否符合标准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要求：Iimp(10/350μs)不应小于12.5 kA，Up不高于2.5kV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浪涌保护器前置空气开关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63A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总配机房配电箱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配合浪涌保护器工作，保证浪涌保护器处于正常工作状态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利用万用表、电笔等测试其主要性能参数，安全等级及过流电阻是否正常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人工费（电工）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浪涌保护器安装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辅料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--</w:t>
            </w: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包含：焊条、支架、螺丝、螺母、电线，通鼻等</w:t>
            </w:r>
          </w:p>
        </w:tc>
        <w:tc>
          <w:tcPr>
            <w:tcW w:w="1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</w:t>
            </w:r>
          </w:p>
        </w:tc>
      </w:tr>
    </w:tbl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2、218-3办公楼</w:t>
      </w:r>
    </w:p>
    <w:tbl>
      <w:tblPr>
        <w:tblStyle w:val="31"/>
        <w:tblW w:w="10705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42"/>
        <w:gridCol w:w="883"/>
        <w:gridCol w:w="983"/>
        <w:gridCol w:w="1267"/>
        <w:gridCol w:w="1367"/>
        <w:gridCol w:w="1933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材料项目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工程量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241" w:firstLineChars="10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施工要求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达到效果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楼顶水箱间接闪带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直径8mm热镀锌圆钢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长8宽4楼顶女儿墙铺设接闪带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安装完成后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屋面设施应处于直击雷保护范围内,保证其防雷设施的有效性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接闪器的材料规格、结构、最小截面和安装方式等应符合 GB50057—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2010 中 4.2.4、4.3.1、4.4.1 及 5.2 的规定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楼梯间接闪带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直径8mm热镀锌圆钢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长2宽2楼顶女儿墙铺设接闪带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安装完成后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屋面设施应处于直击雷保护范围内,保证其防雷设施的有效性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接闪器的材料规格、结构、最小截面和安装方式等应符合 GB50057—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2010 中 4.2.4、4.3.1、4.4.1 及 5.2 的规定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二级浪涌保护器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UC：385V IN：20KA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Imax：40KA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UP：≤1.2KV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电梯机房配电箱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将线路上的瞬间过电压限制到一个安全的水平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测试其主要性能参数(如 Uc、In、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Imax、Iimp、Up 等)和安装工艺(连接导体的材质和导线截面，连接导线的色标，接线连接牢固程度)是否符合标准整体最大放电电流：8/20μs 、40KA；电压保护级别：≤1.5KV。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浪涌保护器前置空气开关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C32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电梯机房配电箱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配合浪涌保护器工作，保证浪涌保护器处于正常工作状态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利用万用表、电笔等测试其主要性能参数，安全等级及过流电阻是否正常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一级浪涌保护器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UC:275V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In:50KA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Iimp:50KA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UP:≤2.5KV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总配电室配电柜内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将线路上的瞬间过电压限制到一个安全的水平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测试其主要性能参数(如 Uc、In、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Imax、Iimp、Up 等)和安装工艺(连接导体的材质和导线截面，连接导线的色标，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接线连接牢固程度)是否符合标准要求：Iimp(10/350μs)不应小于12.5 kA，Up不高于2.5kV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空开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63A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总配机房配电箱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配合浪涌保护器工作，保证浪涌保护器处于正常工作状态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利用万用表、电笔等测试其主要性能参数，安全等级及过流电阻是否正常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设备跨接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16m²铜绞线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电梯机房及楼顶接闪带跨接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安装完成后，使两个跨接物之间处于同一等电位，保证其防雷安全保护效果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应检查跨接设备与共用接地装置的连接情况，如已实现连接，应进一步检查连接质量，连接导体的材料和尺寸是否符合标准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人工费（电工）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浪涌保护器安装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人工费（安装）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接闪带安装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6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辅料</w:t>
            </w:r>
          </w:p>
        </w:tc>
        <w:tc>
          <w:tcPr>
            <w:tcW w:w="8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包含：焊条、支架、螺丝、螺母、电线，通鼻等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both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3、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小二楼岗亭附近</w:t>
      </w:r>
      <w:r>
        <w:rPr>
          <w:rFonts w:hint="eastAsia" w:ascii="宋体" w:hAnsi="宋体" w:cs="宋体"/>
          <w:b/>
          <w:bCs/>
          <w:sz w:val="32"/>
          <w:szCs w:val="32"/>
        </w:rPr>
        <w:t>树木防雷</w:t>
      </w:r>
    </w:p>
    <w:tbl>
      <w:tblPr>
        <w:tblStyle w:val="31"/>
        <w:tblpPr w:leftFromText="180" w:rightFromText="180" w:vertAnchor="text" w:horzAnchor="page" w:tblpX="981" w:tblpY="177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06"/>
        <w:gridCol w:w="1117"/>
        <w:gridCol w:w="1000"/>
        <w:gridCol w:w="1850"/>
        <w:gridCol w:w="236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工程量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施工要求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达到效果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树木避雷针制作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3m避雷针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在树木最顶端制作一根3m避雷针做为接闪装置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利用接闪杆接闪，确保在发生雷击自然灾害时，保证树木和岗亭安全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符合DB11/T1430-2017 《古树名木雷电防护技术规范》要求。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接闪器的材料规格、结构、最小截面和安装方式等应符合 GB50057— 2010 中 4.2.4、4.3.1、4.4.1 及 5.2 的规定。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避雷针树木抱箍固定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绝缘抱箍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4个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避雷针及引下线采用可调动抱箍固方式定在树木上。抱箍垫层采用橡胶垫。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保证其接闪杆安装的稳定性，固定牢靠。并且不对树木本身造成影响和破坏。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测试其抱箍承受拉力、抱箍的松紧程度，及隔热能力。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引下线安装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BV95mm²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9m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采用有绝缘外皮的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铜绞线沿树身向地面敷设。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确保在发生雷击自然灾害时，能够有效的进行雷电流释放引下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各部件之间均应连成电气通路。引下线无急弯，顺直等。引下线的材料规格应符合 GB50057—2010 中 5.3 的规定。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引下线保护套管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3M护管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护管采用交联聚乙烯管DN32mm*3.2mm，引下线抱箍采用不锈钢，垫层采用橡胶垫。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保护引下线在人员易接触位置处的安全性，增加其绝缘性，保证附近人员及建筑物安全。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检查其所用材料符合绝缘要求，符合隔热要求，安装位置是否正确。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接地装置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10m接地装置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采用水平接地体与垂直接地体配合组成接地装置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设立地下电流导通装置，置于地下接入大地从而起到电流导通的作用</w:t>
            </w:r>
          </w:p>
        </w:tc>
        <w:tc>
          <w:tcPr>
            <w:tcW w:w="211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检查接地体的埋设间距、深度、安装方法，检查接地装置的材质、连接方法、防腐处理，都应符合 GB 50057—2010 中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5.4 的规定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人工费用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/>
          <w:sz w:val="24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仿宋_GB2312"/>
          <w:color w:val="000000"/>
          <w:sz w:val="28"/>
          <w:szCs w:val="28"/>
          <w:lang w:eastAsia="zh-CN"/>
        </w:rPr>
        <w:t>注：浪涌保护器均提供</w:t>
      </w:r>
      <w:bookmarkStart w:id="0" w:name="_GoBack"/>
      <w:bookmarkEnd w:id="0"/>
      <w:r>
        <w:rPr>
          <w:rFonts w:hint="eastAsia" w:eastAsia="仿宋_GB2312"/>
          <w:color w:val="000000"/>
          <w:sz w:val="28"/>
          <w:szCs w:val="28"/>
          <w:lang w:eastAsia="zh-CN"/>
        </w:rPr>
        <w:t>合格证。完工出具雷电防护装置检测甲级及以上</w:t>
      </w:r>
      <w:r>
        <w:rPr>
          <w:rFonts w:hint="eastAsia" w:eastAsia="仿宋_GB2312"/>
          <w:color w:val="000000"/>
          <w:sz w:val="28"/>
          <w:szCs w:val="28"/>
        </w:rPr>
        <w:t>资质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单位</w:t>
      </w:r>
      <w:r>
        <w:rPr>
          <w:rFonts w:hint="eastAsia" w:eastAsia="仿宋_GB2312"/>
          <w:color w:val="000000"/>
          <w:sz w:val="28"/>
          <w:szCs w:val="28"/>
        </w:rPr>
        <w:t>（在北京市气象局http://bj.cma.gov.cn/中可查）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提供的检测报告。</w:t>
      </w:r>
    </w:p>
    <w:sectPr>
      <w:headerReference r:id="rId3" w:type="default"/>
      <w:footerReference r:id="rId4" w:type="default"/>
      <w:footerReference r:id="rId5" w:type="even"/>
      <w:pgSz w:w="11906" w:h="16838"/>
      <w:pgMar w:top="1558" w:right="1028" w:bottom="779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  <w:color w:val="000000"/>
        <w:sz w:val="24"/>
      </w:rPr>
    </w:pPr>
    <w:r>
      <w:rPr>
        <w:rFonts w:hint="eastAsia"/>
        <w:color w:val="000000"/>
      </w:rPr>
      <w:t xml:space="preserve">                                         </w:t>
    </w:r>
    <w:r>
      <w:rPr>
        <w:rFonts w:hint="eastAsia"/>
        <w:color w:val="000000"/>
        <w:sz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B1211"/>
    <w:multiLevelType w:val="multilevel"/>
    <w:tmpl w:val="762B1211"/>
    <w:lvl w:ilvl="0" w:tentative="0">
      <w:start w:val="1"/>
      <w:numFmt w:val="chineseCountingThousand"/>
      <w:pStyle w:val="41"/>
      <w:lvlText w:val="%1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M4OWY0NWYxYzVlMTkxYmI5MTQwM2JhYTVlNjcifQ=="/>
  </w:docVars>
  <w:rsids>
    <w:rsidRoot w:val="00172A27"/>
    <w:rsid w:val="00005CD6"/>
    <w:rsid w:val="00005F0F"/>
    <w:rsid w:val="000101E7"/>
    <w:rsid w:val="000172A8"/>
    <w:rsid w:val="0002072B"/>
    <w:rsid w:val="00021E2D"/>
    <w:rsid w:val="00024CE7"/>
    <w:rsid w:val="00026F1B"/>
    <w:rsid w:val="0003013C"/>
    <w:rsid w:val="00032677"/>
    <w:rsid w:val="000366D6"/>
    <w:rsid w:val="00044C4F"/>
    <w:rsid w:val="00045089"/>
    <w:rsid w:val="00053F85"/>
    <w:rsid w:val="00055AB2"/>
    <w:rsid w:val="00062605"/>
    <w:rsid w:val="0006274F"/>
    <w:rsid w:val="000642E9"/>
    <w:rsid w:val="000644B5"/>
    <w:rsid w:val="000674BB"/>
    <w:rsid w:val="00071120"/>
    <w:rsid w:val="00081210"/>
    <w:rsid w:val="00095505"/>
    <w:rsid w:val="000965D2"/>
    <w:rsid w:val="000A61A2"/>
    <w:rsid w:val="000B115D"/>
    <w:rsid w:val="000C28A4"/>
    <w:rsid w:val="000C3F13"/>
    <w:rsid w:val="000C64DD"/>
    <w:rsid w:val="000D185E"/>
    <w:rsid w:val="000D1A9D"/>
    <w:rsid w:val="000E0865"/>
    <w:rsid w:val="000E0B41"/>
    <w:rsid w:val="000E142B"/>
    <w:rsid w:val="000E1E35"/>
    <w:rsid w:val="000F255D"/>
    <w:rsid w:val="00111FD7"/>
    <w:rsid w:val="00112038"/>
    <w:rsid w:val="00115533"/>
    <w:rsid w:val="00121E74"/>
    <w:rsid w:val="0012482B"/>
    <w:rsid w:val="0012557C"/>
    <w:rsid w:val="00132771"/>
    <w:rsid w:val="00132BC1"/>
    <w:rsid w:val="00135FB6"/>
    <w:rsid w:val="00136915"/>
    <w:rsid w:val="00136A5E"/>
    <w:rsid w:val="0014040F"/>
    <w:rsid w:val="0014159F"/>
    <w:rsid w:val="00146A71"/>
    <w:rsid w:val="0015040B"/>
    <w:rsid w:val="00157541"/>
    <w:rsid w:val="00157867"/>
    <w:rsid w:val="00161D65"/>
    <w:rsid w:val="00162295"/>
    <w:rsid w:val="00166293"/>
    <w:rsid w:val="0016718F"/>
    <w:rsid w:val="001709EC"/>
    <w:rsid w:val="00183373"/>
    <w:rsid w:val="001951E9"/>
    <w:rsid w:val="001A2FE9"/>
    <w:rsid w:val="001B1120"/>
    <w:rsid w:val="001C34CD"/>
    <w:rsid w:val="001C48C5"/>
    <w:rsid w:val="001D1D14"/>
    <w:rsid w:val="001D3E42"/>
    <w:rsid w:val="001D5ADF"/>
    <w:rsid w:val="001D7696"/>
    <w:rsid w:val="001E27B2"/>
    <w:rsid w:val="001E40BB"/>
    <w:rsid w:val="001E637A"/>
    <w:rsid w:val="001F2689"/>
    <w:rsid w:val="001F35A2"/>
    <w:rsid w:val="001F51CC"/>
    <w:rsid w:val="0020259E"/>
    <w:rsid w:val="00206003"/>
    <w:rsid w:val="00214273"/>
    <w:rsid w:val="00221108"/>
    <w:rsid w:val="00221FE6"/>
    <w:rsid w:val="0023047C"/>
    <w:rsid w:val="00247DC4"/>
    <w:rsid w:val="00252916"/>
    <w:rsid w:val="0026035D"/>
    <w:rsid w:val="0026509D"/>
    <w:rsid w:val="00271EAB"/>
    <w:rsid w:val="00277117"/>
    <w:rsid w:val="002919A0"/>
    <w:rsid w:val="002947DD"/>
    <w:rsid w:val="00294B60"/>
    <w:rsid w:val="00296466"/>
    <w:rsid w:val="002A1BB5"/>
    <w:rsid w:val="002A45B6"/>
    <w:rsid w:val="002B3B45"/>
    <w:rsid w:val="002B4A88"/>
    <w:rsid w:val="002B66B5"/>
    <w:rsid w:val="002C2104"/>
    <w:rsid w:val="002C4793"/>
    <w:rsid w:val="002D6DF9"/>
    <w:rsid w:val="002E0702"/>
    <w:rsid w:val="002E1BE6"/>
    <w:rsid w:val="002E65D2"/>
    <w:rsid w:val="002F097E"/>
    <w:rsid w:val="002F219D"/>
    <w:rsid w:val="002F79BC"/>
    <w:rsid w:val="00306EA8"/>
    <w:rsid w:val="00310952"/>
    <w:rsid w:val="00312087"/>
    <w:rsid w:val="00314798"/>
    <w:rsid w:val="0031529C"/>
    <w:rsid w:val="003161A1"/>
    <w:rsid w:val="0032105C"/>
    <w:rsid w:val="0033468E"/>
    <w:rsid w:val="00340085"/>
    <w:rsid w:val="003413E6"/>
    <w:rsid w:val="00341F63"/>
    <w:rsid w:val="00346F99"/>
    <w:rsid w:val="003615A8"/>
    <w:rsid w:val="00361D24"/>
    <w:rsid w:val="0036275E"/>
    <w:rsid w:val="00365A4C"/>
    <w:rsid w:val="00366D43"/>
    <w:rsid w:val="00367398"/>
    <w:rsid w:val="0038119A"/>
    <w:rsid w:val="003841F8"/>
    <w:rsid w:val="00391E40"/>
    <w:rsid w:val="0039409C"/>
    <w:rsid w:val="00394333"/>
    <w:rsid w:val="0039502A"/>
    <w:rsid w:val="003A314C"/>
    <w:rsid w:val="003A3BBC"/>
    <w:rsid w:val="003A47EF"/>
    <w:rsid w:val="003A5441"/>
    <w:rsid w:val="003A5A1D"/>
    <w:rsid w:val="003C4A96"/>
    <w:rsid w:val="003C644D"/>
    <w:rsid w:val="003D0CAA"/>
    <w:rsid w:val="003D6926"/>
    <w:rsid w:val="003D6BF6"/>
    <w:rsid w:val="003E00DF"/>
    <w:rsid w:val="003E373E"/>
    <w:rsid w:val="003F227B"/>
    <w:rsid w:val="003F3CD1"/>
    <w:rsid w:val="00401749"/>
    <w:rsid w:val="00407D25"/>
    <w:rsid w:val="00422102"/>
    <w:rsid w:val="00423390"/>
    <w:rsid w:val="00425561"/>
    <w:rsid w:val="00430906"/>
    <w:rsid w:val="00432E65"/>
    <w:rsid w:val="0044708B"/>
    <w:rsid w:val="00463CBE"/>
    <w:rsid w:val="00464B69"/>
    <w:rsid w:val="004714EE"/>
    <w:rsid w:val="004737A7"/>
    <w:rsid w:val="00473F8F"/>
    <w:rsid w:val="00475FC8"/>
    <w:rsid w:val="00476771"/>
    <w:rsid w:val="00490F83"/>
    <w:rsid w:val="004978D3"/>
    <w:rsid w:val="004C2733"/>
    <w:rsid w:val="004C6FA7"/>
    <w:rsid w:val="004D5FB5"/>
    <w:rsid w:val="004D6F0F"/>
    <w:rsid w:val="004E5C3D"/>
    <w:rsid w:val="004E637E"/>
    <w:rsid w:val="004F150B"/>
    <w:rsid w:val="004F4FEE"/>
    <w:rsid w:val="004F5060"/>
    <w:rsid w:val="00500B35"/>
    <w:rsid w:val="0050368B"/>
    <w:rsid w:val="0051206F"/>
    <w:rsid w:val="00515C72"/>
    <w:rsid w:val="00521AA3"/>
    <w:rsid w:val="00523A80"/>
    <w:rsid w:val="005265DD"/>
    <w:rsid w:val="005279EE"/>
    <w:rsid w:val="00530DA2"/>
    <w:rsid w:val="00543BE2"/>
    <w:rsid w:val="00544A7C"/>
    <w:rsid w:val="00545C38"/>
    <w:rsid w:val="00545F98"/>
    <w:rsid w:val="00546428"/>
    <w:rsid w:val="005570A2"/>
    <w:rsid w:val="00557215"/>
    <w:rsid w:val="0056252D"/>
    <w:rsid w:val="005645F8"/>
    <w:rsid w:val="0056618E"/>
    <w:rsid w:val="00575ED5"/>
    <w:rsid w:val="0058161A"/>
    <w:rsid w:val="0059449E"/>
    <w:rsid w:val="005A485E"/>
    <w:rsid w:val="005C2C06"/>
    <w:rsid w:val="005C420F"/>
    <w:rsid w:val="005D2A20"/>
    <w:rsid w:val="005D7532"/>
    <w:rsid w:val="005E6AC5"/>
    <w:rsid w:val="005F016B"/>
    <w:rsid w:val="006017CC"/>
    <w:rsid w:val="00602741"/>
    <w:rsid w:val="00610405"/>
    <w:rsid w:val="00622007"/>
    <w:rsid w:val="006272EF"/>
    <w:rsid w:val="0063041C"/>
    <w:rsid w:val="00630BD9"/>
    <w:rsid w:val="00636020"/>
    <w:rsid w:val="00643AB0"/>
    <w:rsid w:val="00651234"/>
    <w:rsid w:val="0065420F"/>
    <w:rsid w:val="0066062A"/>
    <w:rsid w:val="006644DD"/>
    <w:rsid w:val="0066529D"/>
    <w:rsid w:val="00670D04"/>
    <w:rsid w:val="00673D3F"/>
    <w:rsid w:val="00681CFB"/>
    <w:rsid w:val="00681E25"/>
    <w:rsid w:val="00685673"/>
    <w:rsid w:val="00686559"/>
    <w:rsid w:val="00694C29"/>
    <w:rsid w:val="006970F1"/>
    <w:rsid w:val="006A6DA7"/>
    <w:rsid w:val="006B1797"/>
    <w:rsid w:val="006B19F2"/>
    <w:rsid w:val="006B1A68"/>
    <w:rsid w:val="006B26E6"/>
    <w:rsid w:val="006C1D3D"/>
    <w:rsid w:val="006C212D"/>
    <w:rsid w:val="006C53DE"/>
    <w:rsid w:val="006D08EB"/>
    <w:rsid w:val="006D0DCE"/>
    <w:rsid w:val="006D1FB6"/>
    <w:rsid w:val="006D379A"/>
    <w:rsid w:val="006D7D85"/>
    <w:rsid w:val="006E05C2"/>
    <w:rsid w:val="006E7155"/>
    <w:rsid w:val="006E7D6F"/>
    <w:rsid w:val="006F3F19"/>
    <w:rsid w:val="006F455B"/>
    <w:rsid w:val="006F4879"/>
    <w:rsid w:val="00710C76"/>
    <w:rsid w:val="007171BA"/>
    <w:rsid w:val="0072389D"/>
    <w:rsid w:val="0073055C"/>
    <w:rsid w:val="007325C8"/>
    <w:rsid w:val="00734D4A"/>
    <w:rsid w:val="00734FD2"/>
    <w:rsid w:val="00737539"/>
    <w:rsid w:val="00741C17"/>
    <w:rsid w:val="00744D4F"/>
    <w:rsid w:val="007479F6"/>
    <w:rsid w:val="00750C05"/>
    <w:rsid w:val="00754802"/>
    <w:rsid w:val="007740CE"/>
    <w:rsid w:val="007814E3"/>
    <w:rsid w:val="007864BF"/>
    <w:rsid w:val="00790744"/>
    <w:rsid w:val="00792AA3"/>
    <w:rsid w:val="00793999"/>
    <w:rsid w:val="00795B92"/>
    <w:rsid w:val="007A32DD"/>
    <w:rsid w:val="007A5566"/>
    <w:rsid w:val="007A5601"/>
    <w:rsid w:val="007A5C11"/>
    <w:rsid w:val="007B025F"/>
    <w:rsid w:val="007B3CD9"/>
    <w:rsid w:val="007B5BC9"/>
    <w:rsid w:val="007C0A2A"/>
    <w:rsid w:val="007C6DCC"/>
    <w:rsid w:val="007D04FF"/>
    <w:rsid w:val="007D2268"/>
    <w:rsid w:val="007D48AD"/>
    <w:rsid w:val="007E1F47"/>
    <w:rsid w:val="007E50F1"/>
    <w:rsid w:val="007F0AED"/>
    <w:rsid w:val="007F12DC"/>
    <w:rsid w:val="007F154A"/>
    <w:rsid w:val="007F161D"/>
    <w:rsid w:val="007F191D"/>
    <w:rsid w:val="00801022"/>
    <w:rsid w:val="008026C5"/>
    <w:rsid w:val="008258AE"/>
    <w:rsid w:val="008329C7"/>
    <w:rsid w:val="00834A9D"/>
    <w:rsid w:val="008356B1"/>
    <w:rsid w:val="00846600"/>
    <w:rsid w:val="008559EE"/>
    <w:rsid w:val="00862C5A"/>
    <w:rsid w:val="00866171"/>
    <w:rsid w:val="00872115"/>
    <w:rsid w:val="00872C83"/>
    <w:rsid w:val="00873F09"/>
    <w:rsid w:val="008742DE"/>
    <w:rsid w:val="00877910"/>
    <w:rsid w:val="008824DA"/>
    <w:rsid w:val="00885063"/>
    <w:rsid w:val="0088570B"/>
    <w:rsid w:val="008930C2"/>
    <w:rsid w:val="008A00DE"/>
    <w:rsid w:val="008A134A"/>
    <w:rsid w:val="008A14E9"/>
    <w:rsid w:val="008A1623"/>
    <w:rsid w:val="008A2733"/>
    <w:rsid w:val="008A2782"/>
    <w:rsid w:val="008A7CA3"/>
    <w:rsid w:val="008B24CE"/>
    <w:rsid w:val="008B5FFC"/>
    <w:rsid w:val="008B605B"/>
    <w:rsid w:val="008B643C"/>
    <w:rsid w:val="008B69FB"/>
    <w:rsid w:val="008B7DEB"/>
    <w:rsid w:val="008C2FFC"/>
    <w:rsid w:val="008D0CD8"/>
    <w:rsid w:val="008D39C8"/>
    <w:rsid w:val="008D6152"/>
    <w:rsid w:val="008D6233"/>
    <w:rsid w:val="008D69E6"/>
    <w:rsid w:val="008E23AA"/>
    <w:rsid w:val="008E344E"/>
    <w:rsid w:val="008E421F"/>
    <w:rsid w:val="008E4435"/>
    <w:rsid w:val="008E7125"/>
    <w:rsid w:val="008F13FA"/>
    <w:rsid w:val="008F19E4"/>
    <w:rsid w:val="008F60CE"/>
    <w:rsid w:val="0090067C"/>
    <w:rsid w:val="00901470"/>
    <w:rsid w:val="0090567D"/>
    <w:rsid w:val="009065D1"/>
    <w:rsid w:val="009073FA"/>
    <w:rsid w:val="00913270"/>
    <w:rsid w:val="00914515"/>
    <w:rsid w:val="0092030E"/>
    <w:rsid w:val="009223B8"/>
    <w:rsid w:val="00932471"/>
    <w:rsid w:val="00935323"/>
    <w:rsid w:val="00935E4D"/>
    <w:rsid w:val="00945259"/>
    <w:rsid w:val="00945369"/>
    <w:rsid w:val="00946B08"/>
    <w:rsid w:val="00950DC9"/>
    <w:rsid w:val="00952846"/>
    <w:rsid w:val="00954193"/>
    <w:rsid w:val="009545F7"/>
    <w:rsid w:val="0096013E"/>
    <w:rsid w:val="00960643"/>
    <w:rsid w:val="00964661"/>
    <w:rsid w:val="00965FC6"/>
    <w:rsid w:val="009723BB"/>
    <w:rsid w:val="00975DF2"/>
    <w:rsid w:val="00980054"/>
    <w:rsid w:val="009845D4"/>
    <w:rsid w:val="009972DB"/>
    <w:rsid w:val="009A049A"/>
    <w:rsid w:val="009A35C5"/>
    <w:rsid w:val="009A43D6"/>
    <w:rsid w:val="009A7B95"/>
    <w:rsid w:val="009B0037"/>
    <w:rsid w:val="009B53B7"/>
    <w:rsid w:val="009D2083"/>
    <w:rsid w:val="009F5796"/>
    <w:rsid w:val="009F726C"/>
    <w:rsid w:val="00A0668D"/>
    <w:rsid w:val="00A07946"/>
    <w:rsid w:val="00A17757"/>
    <w:rsid w:val="00A2154A"/>
    <w:rsid w:val="00A230BC"/>
    <w:rsid w:val="00A2511D"/>
    <w:rsid w:val="00A2617B"/>
    <w:rsid w:val="00A26C49"/>
    <w:rsid w:val="00A365B4"/>
    <w:rsid w:val="00A42F19"/>
    <w:rsid w:val="00A43DD7"/>
    <w:rsid w:val="00A44324"/>
    <w:rsid w:val="00A47830"/>
    <w:rsid w:val="00A56E26"/>
    <w:rsid w:val="00A63C31"/>
    <w:rsid w:val="00A70194"/>
    <w:rsid w:val="00A732A8"/>
    <w:rsid w:val="00A732B9"/>
    <w:rsid w:val="00A736C7"/>
    <w:rsid w:val="00A750EE"/>
    <w:rsid w:val="00A76E6E"/>
    <w:rsid w:val="00A84A30"/>
    <w:rsid w:val="00A87CD2"/>
    <w:rsid w:val="00A87EA5"/>
    <w:rsid w:val="00A916AF"/>
    <w:rsid w:val="00A94800"/>
    <w:rsid w:val="00AB13BF"/>
    <w:rsid w:val="00AB2623"/>
    <w:rsid w:val="00AC34F6"/>
    <w:rsid w:val="00AD0376"/>
    <w:rsid w:val="00AD5D1E"/>
    <w:rsid w:val="00AF31D0"/>
    <w:rsid w:val="00AF42B4"/>
    <w:rsid w:val="00B003FE"/>
    <w:rsid w:val="00B03342"/>
    <w:rsid w:val="00B05679"/>
    <w:rsid w:val="00B06EAF"/>
    <w:rsid w:val="00B11393"/>
    <w:rsid w:val="00B2225E"/>
    <w:rsid w:val="00B2270F"/>
    <w:rsid w:val="00B27D5E"/>
    <w:rsid w:val="00B34A4F"/>
    <w:rsid w:val="00B34BB7"/>
    <w:rsid w:val="00B364CD"/>
    <w:rsid w:val="00B458AF"/>
    <w:rsid w:val="00B479B4"/>
    <w:rsid w:val="00B47F26"/>
    <w:rsid w:val="00B50310"/>
    <w:rsid w:val="00B54BAF"/>
    <w:rsid w:val="00B566A4"/>
    <w:rsid w:val="00B5688D"/>
    <w:rsid w:val="00B56A4F"/>
    <w:rsid w:val="00B6196B"/>
    <w:rsid w:val="00B6273F"/>
    <w:rsid w:val="00B64C6A"/>
    <w:rsid w:val="00B65784"/>
    <w:rsid w:val="00B6579A"/>
    <w:rsid w:val="00B7594F"/>
    <w:rsid w:val="00B90EA0"/>
    <w:rsid w:val="00BA07D2"/>
    <w:rsid w:val="00BA36F1"/>
    <w:rsid w:val="00BA44EE"/>
    <w:rsid w:val="00BB0A9D"/>
    <w:rsid w:val="00BB1587"/>
    <w:rsid w:val="00BB1D52"/>
    <w:rsid w:val="00BB2FAB"/>
    <w:rsid w:val="00BB3886"/>
    <w:rsid w:val="00BB416C"/>
    <w:rsid w:val="00BC01A3"/>
    <w:rsid w:val="00BC49DC"/>
    <w:rsid w:val="00BC4BC1"/>
    <w:rsid w:val="00BC4CD9"/>
    <w:rsid w:val="00BC4E48"/>
    <w:rsid w:val="00BC5C3A"/>
    <w:rsid w:val="00BC7F7C"/>
    <w:rsid w:val="00BD6317"/>
    <w:rsid w:val="00BE6E3B"/>
    <w:rsid w:val="00BF2B96"/>
    <w:rsid w:val="00BF4A40"/>
    <w:rsid w:val="00C05085"/>
    <w:rsid w:val="00C05D35"/>
    <w:rsid w:val="00C07E4E"/>
    <w:rsid w:val="00C152ED"/>
    <w:rsid w:val="00C224A7"/>
    <w:rsid w:val="00C2288E"/>
    <w:rsid w:val="00C22CFB"/>
    <w:rsid w:val="00C2493F"/>
    <w:rsid w:val="00C24D25"/>
    <w:rsid w:val="00C2576F"/>
    <w:rsid w:val="00C304A2"/>
    <w:rsid w:val="00C3111C"/>
    <w:rsid w:val="00C47CDB"/>
    <w:rsid w:val="00C503AE"/>
    <w:rsid w:val="00C53A89"/>
    <w:rsid w:val="00C54A81"/>
    <w:rsid w:val="00C56809"/>
    <w:rsid w:val="00C623E0"/>
    <w:rsid w:val="00C70A36"/>
    <w:rsid w:val="00C72887"/>
    <w:rsid w:val="00C820FA"/>
    <w:rsid w:val="00C821CA"/>
    <w:rsid w:val="00C82A69"/>
    <w:rsid w:val="00C8510E"/>
    <w:rsid w:val="00C86CB0"/>
    <w:rsid w:val="00C8737E"/>
    <w:rsid w:val="00C905B1"/>
    <w:rsid w:val="00C90E7F"/>
    <w:rsid w:val="00C911BC"/>
    <w:rsid w:val="00C9438D"/>
    <w:rsid w:val="00CA466C"/>
    <w:rsid w:val="00CA5830"/>
    <w:rsid w:val="00CB066F"/>
    <w:rsid w:val="00CB3DB2"/>
    <w:rsid w:val="00CB3E90"/>
    <w:rsid w:val="00CC06EC"/>
    <w:rsid w:val="00CC288E"/>
    <w:rsid w:val="00CC3EA2"/>
    <w:rsid w:val="00CD15B0"/>
    <w:rsid w:val="00CD2100"/>
    <w:rsid w:val="00CD22ED"/>
    <w:rsid w:val="00CD61FB"/>
    <w:rsid w:val="00CE36B1"/>
    <w:rsid w:val="00CE6F33"/>
    <w:rsid w:val="00CF16ED"/>
    <w:rsid w:val="00CF1892"/>
    <w:rsid w:val="00CF6A78"/>
    <w:rsid w:val="00D042E7"/>
    <w:rsid w:val="00D0575C"/>
    <w:rsid w:val="00D05B98"/>
    <w:rsid w:val="00D100B2"/>
    <w:rsid w:val="00D13B0A"/>
    <w:rsid w:val="00D15A74"/>
    <w:rsid w:val="00D255BA"/>
    <w:rsid w:val="00D25CED"/>
    <w:rsid w:val="00D31A22"/>
    <w:rsid w:val="00D33983"/>
    <w:rsid w:val="00D349A0"/>
    <w:rsid w:val="00D3544F"/>
    <w:rsid w:val="00D36AC4"/>
    <w:rsid w:val="00D40159"/>
    <w:rsid w:val="00D412DF"/>
    <w:rsid w:val="00D425B7"/>
    <w:rsid w:val="00D52A33"/>
    <w:rsid w:val="00D60A0E"/>
    <w:rsid w:val="00D6183F"/>
    <w:rsid w:val="00D61911"/>
    <w:rsid w:val="00D62213"/>
    <w:rsid w:val="00D67538"/>
    <w:rsid w:val="00D77EA4"/>
    <w:rsid w:val="00D81F57"/>
    <w:rsid w:val="00D87C87"/>
    <w:rsid w:val="00D87E1D"/>
    <w:rsid w:val="00D9124F"/>
    <w:rsid w:val="00DB27B3"/>
    <w:rsid w:val="00DB59A1"/>
    <w:rsid w:val="00DB6AEB"/>
    <w:rsid w:val="00DC5E42"/>
    <w:rsid w:val="00DD6AC5"/>
    <w:rsid w:val="00DE0C0B"/>
    <w:rsid w:val="00DE15FF"/>
    <w:rsid w:val="00DE62B5"/>
    <w:rsid w:val="00E03566"/>
    <w:rsid w:val="00E07063"/>
    <w:rsid w:val="00E13EB6"/>
    <w:rsid w:val="00E14B84"/>
    <w:rsid w:val="00E14F02"/>
    <w:rsid w:val="00E1583E"/>
    <w:rsid w:val="00E15FC0"/>
    <w:rsid w:val="00E228A4"/>
    <w:rsid w:val="00E25548"/>
    <w:rsid w:val="00E33FD8"/>
    <w:rsid w:val="00E40C32"/>
    <w:rsid w:val="00E40C37"/>
    <w:rsid w:val="00E416A9"/>
    <w:rsid w:val="00E425F2"/>
    <w:rsid w:val="00E431B3"/>
    <w:rsid w:val="00E44F75"/>
    <w:rsid w:val="00E45224"/>
    <w:rsid w:val="00E46639"/>
    <w:rsid w:val="00E53C8F"/>
    <w:rsid w:val="00E56481"/>
    <w:rsid w:val="00E5746F"/>
    <w:rsid w:val="00E576BD"/>
    <w:rsid w:val="00E602DE"/>
    <w:rsid w:val="00E73F44"/>
    <w:rsid w:val="00E81A49"/>
    <w:rsid w:val="00E81FAF"/>
    <w:rsid w:val="00E84B12"/>
    <w:rsid w:val="00E85684"/>
    <w:rsid w:val="00E9079B"/>
    <w:rsid w:val="00EB39D3"/>
    <w:rsid w:val="00EB62E6"/>
    <w:rsid w:val="00EB6AA9"/>
    <w:rsid w:val="00EB7C3A"/>
    <w:rsid w:val="00EC35A4"/>
    <w:rsid w:val="00EC3C1E"/>
    <w:rsid w:val="00EC3CBB"/>
    <w:rsid w:val="00EC6E84"/>
    <w:rsid w:val="00EC6FEF"/>
    <w:rsid w:val="00ED7F64"/>
    <w:rsid w:val="00EE20D2"/>
    <w:rsid w:val="00EE37F0"/>
    <w:rsid w:val="00EE3C86"/>
    <w:rsid w:val="00EE7D03"/>
    <w:rsid w:val="00EF1267"/>
    <w:rsid w:val="00EF3D64"/>
    <w:rsid w:val="00EF633F"/>
    <w:rsid w:val="00EF6CEE"/>
    <w:rsid w:val="00F055A5"/>
    <w:rsid w:val="00F063E0"/>
    <w:rsid w:val="00F06B09"/>
    <w:rsid w:val="00F10427"/>
    <w:rsid w:val="00F12175"/>
    <w:rsid w:val="00F16ACE"/>
    <w:rsid w:val="00F221A8"/>
    <w:rsid w:val="00F35DA5"/>
    <w:rsid w:val="00F36CC9"/>
    <w:rsid w:val="00F41E2B"/>
    <w:rsid w:val="00F44717"/>
    <w:rsid w:val="00F46C25"/>
    <w:rsid w:val="00F57061"/>
    <w:rsid w:val="00F66849"/>
    <w:rsid w:val="00F735CF"/>
    <w:rsid w:val="00F748E6"/>
    <w:rsid w:val="00F7568D"/>
    <w:rsid w:val="00F758F6"/>
    <w:rsid w:val="00F7644C"/>
    <w:rsid w:val="00F80A0E"/>
    <w:rsid w:val="00F83777"/>
    <w:rsid w:val="00F84B58"/>
    <w:rsid w:val="00F87B55"/>
    <w:rsid w:val="00F921A4"/>
    <w:rsid w:val="00F94983"/>
    <w:rsid w:val="00F95FCF"/>
    <w:rsid w:val="00F96A72"/>
    <w:rsid w:val="00FA1AD7"/>
    <w:rsid w:val="00FA37CE"/>
    <w:rsid w:val="00FA435E"/>
    <w:rsid w:val="00FC0537"/>
    <w:rsid w:val="00FC5130"/>
    <w:rsid w:val="00FD22A2"/>
    <w:rsid w:val="00FD385B"/>
    <w:rsid w:val="00FE2277"/>
    <w:rsid w:val="00FE70D2"/>
    <w:rsid w:val="02705274"/>
    <w:rsid w:val="02844D03"/>
    <w:rsid w:val="03C427F9"/>
    <w:rsid w:val="04433F65"/>
    <w:rsid w:val="06313A3A"/>
    <w:rsid w:val="071F5763"/>
    <w:rsid w:val="07367DB5"/>
    <w:rsid w:val="07931DC8"/>
    <w:rsid w:val="08604D8B"/>
    <w:rsid w:val="08FE0A8A"/>
    <w:rsid w:val="09945DAC"/>
    <w:rsid w:val="0A0159AE"/>
    <w:rsid w:val="0A850229"/>
    <w:rsid w:val="0C001AA5"/>
    <w:rsid w:val="0CCD6508"/>
    <w:rsid w:val="0D956C37"/>
    <w:rsid w:val="0DB13EAA"/>
    <w:rsid w:val="0DF44E4D"/>
    <w:rsid w:val="0F125EE9"/>
    <w:rsid w:val="0F974E8D"/>
    <w:rsid w:val="109D7D02"/>
    <w:rsid w:val="118E5137"/>
    <w:rsid w:val="11DC0B38"/>
    <w:rsid w:val="12606E39"/>
    <w:rsid w:val="13775C61"/>
    <w:rsid w:val="15CD3129"/>
    <w:rsid w:val="16C436F8"/>
    <w:rsid w:val="187D5604"/>
    <w:rsid w:val="19471C92"/>
    <w:rsid w:val="1CCA216B"/>
    <w:rsid w:val="1D613CEA"/>
    <w:rsid w:val="1DA8646F"/>
    <w:rsid w:val="1DC7240A"/>
    <w:rsid w:val="1EA33E97"/>
    <w:rsid w:val="2025312C"/>
    <w:rsid w:val="253253EA"/>
    <w:rsid w:val="25BF3B48"/>
    <w:rsid w:val="27960705"/>
    <w:rsid w:val="281D31F5"/>
    <w:rsid w:val="289C4C88"/>
    <w:rsid w:val="29BE3102"/>
    <w:rsid w:val="2A9F6CDB"/>
    <w:rsid w:val="2C3E7916"/>
    <w:rsid w:val="2CA71C9B"/>
    <w:rsid w:val="2D1E25AF"/>
    <w:rsid w:val="2D961D38"/>
    <w:rsid w:val="2DC5058B"/>
    <w:rsid w:val="2F353F58"/>
    <w:rsid w:val="2FF656BB"/>
    <w:rsid w:val="306A4FDE"/>
    <w:rsid w:val="306B24B7"/>
    <w:rsid w:val="31891AA3"/>
    <w:rsid w:val="318E429D"/>
    <w:rsid w:val="3276283A"/>
    <w:rsid w:val="32BC48B0"/>
    <w:rsid w:val="330203DB"/>
    <w:rsid w:val="332A0E68"/>
    <w:rsid w:val="33F805C6"/>
    <w:rsid w:val="34B23D21"/>
    <w:rsid w:val="35022698"/>
    <w:rsid w:val="352A731E"/>
    <w:rsid w:val="35BB3C37"/>
    <w:rsid w:val="35FF3EA3"/>
    <w:rsid w:val="37163E8E"/>
    <w:rsid w:val="388F3042"/>
    <w:rsid w:val="39224800"/>
    <w:rsid w:val="3B205E99"/>
    <w:rsid w:val="3B3F43AF"/>
    <w:rsid w:val="3B4020CD"/>
    <w:rsid w:val="3B5658C9"/>
    <w:rsid w:val="3BFD44B8"/>
    <w:rsid w:val="3C164589"/>
    <w:rsid w:val="3C4A1944"/>
    <w:rsid w:val="3F043239"/>
    <w:rsid w:val="405E42F2"/>
    <w:rsid w:val="4062038D"/>
    <w:rsid w:val="40DB0173"/>
    <w:rsid w:val="415A42CA"/>
    <w:rsid w:val="41D46D78"/>
    <w:rsid w:val="41FC3F59"/>
    <w:rsid w:val="421200F7"/>
    <w:rsid w:val="42152F5F"/>
    <w:rsid w:val="4276513E"/>
    <w:rsid w:val="42BD1609"/>
    <w:rsid w:val="42CD585F"/>
    <w:rsid w:val="436A2095"/>
    <w:rsid w:val="44777FD1"/>
    <w:rsid w:val="455620FF"/>
    <w:rsid w:val="46626D07"/>
    <w:rsid w:val="46EC3B32"/>
    <w:rsid w:val="46F54593"/>
    <w:rsid w:val="476F6770"/>
    <w:rsid w:val="49295E97"/>
    <w:rsid w:val="49E574CA"/>
    <w:rsid w:val="4A9E6534"/>
    <w:rsid w:val="4B6E5E1C"/>
    <w:rsid w:val="4C080E8D"/>
    <w:rsid w:val="4C0B16FA"/>
    <w:rsid w:val="4C5B6536"/>
    <w:rsid w:val="4C813FB6"/>
    <w:rsid w:val="4CDD5075"/>
    <w:rsid w:val="4CF60E73"/>
    <w:rsid w:val="4D862275"/>
    <w:rsid w:val="4D9D70EE"/>
    <w:rsid w:val="4E823C52"/>
    <w:rsid w:val="513B1778"/>
    <w:rsid w:val="51E15A82"/>
    <w:rsid w:val="524C3E1D"/>
    <w:rsid w:val="53871019"/>
    <w:rsid w:val="543468E7"/>
    <w:rsid w:val="56D50E5D"/>
    <w:rsid w:val="56F97274"/>
    <w:rsid w:val="574B04B5"/>
    <w:rsid w:val="576167BA"/>
    <w:rsid w:val="57CF247F"/>
    <w:rsid w:val="58154828"/>
    <w:rsid w:val="58295363"/>
    <w:rsid w:val="59321B02"/>
    <w:rsid w:val="5A465FB9"/>
    <w:rsid w:val="5B0837BF"/>
    <w:rsid w:val="5C8F2367"/>
    <w:rsid w:val="5C9A7236"/>
    <w:rsid w:val="5D4F497E"/>
    <w:rsid w:val="5DC03F15"/>
    <w:rsid w:val="5E8A1F56"/>
    <w:rsid w:val="5EBA1FB3"/>
    <w:rsid w:val="5EBE5E8D"/>
    <w:rsid w:val="5F223BC2"/>
    <w:rsid w:val="5F6726EB"/>
    <w:rsid w:val="5FB40A4E"/>
    <w:rsid w:val="61217574"/>
    <w:rsid w:val="61B23BBC"/>
    <w:rsid w:val="61DC6640"/>
    <w:rsid w:val="62180893"/>
    <w:rsid w:val="635D47F5"/>
    <w:rsid w:val="64662B5A"/>
    <w:rsid w:val="655B0B17"/>
    <w:rsid w:val="65B546B9"/>
    <w:rsid w:val="675E4295"/>
    <w:rsid w:val="67650F4D"/>
    <w:rsid w:val="680A1369"/>
    <w:rsid w:val="688D5339"/>
    <w:rsid w:val="693456AF"/>
    <w:rsid w:val="6D7F7A4A"/>
    <w:rsid w:val="6DF24ED7"/>
    <w:rsid w:val="6E241FC2"/>
    <w:rsid w:val="6E6307D2"/>
    <w:rsid w:val="70317D81"/>
    <w:rsid w:val="70AC775D"/>
    <w:rsid w:val="70AF3BBD"/>
    <w:rsid w:val="70E31A44"/>
    <w:rsid w:val="71D032AA"/>
    <w:rsid w:val="71F25676"/>
    <w:rsid w:val="7209325C"/>
    <w:rsid w:val="757A45AA"/>
    <w:rsid w:val="76067762"/>
    <w:rsid w:val="76FD70FD"/>
    <w:rsid w:val="787D7C47"/>
    <w:rsid w:val="7925218A"/>
    <w:rsid w:val="79D90259"/>
    <w:rsid w:val="7BCF6898"/>
    <w:rsid w:val="7C760F60"/>
    <w:rsid w:val="7C9F165B"/>
    <w:rsid w:val="7D0404D5"/>
    <w:rsid w:val="7E0A38E8"/>
    <w:rsid w:val="7FB8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7"/>
    <w:basedOn w:val="1"/>
    <w:next w:val="1"/>
    <w:qFormat/>
    <w:uiPriority w:val="0"/>
    <w:pPr>
      <w:keepNext/>
      <w:spacing w:before="120" w:after="120" w:line="360" w:lineRule="auto"/>
      <w:ind w:right="-36" w:rightChars="-17"/>
      <w:jc w:val="center"/>
      <w:outlineLvl w:val="6"/>
    </w:pPr>
    <w:rPr>
      <w:rFonts w:ascii="黑体" w:eastAsia="黑体"/>
      <w:b/>
      <w:bCs/>
      <w:szCs w:val="21"/>
    </w:rPr>
  </w:style>
  <w:style w:type="paragraph" w:styleId="8">
    <w:name w:val="heading 8"/>
    <w:basedOn w:val="1"/>
    <w:next w:val="1"/>
    <w:qFormat/>
    <w:uiPriority w:val="0"/>
    <w:pPr>
      <w:keepNext/>
      <w:spacing w:before="120" w:after="120" w:line="360" w:lineRule="auto"/>
      <w:ind w:right="-36" w:rightChars="-17"/>
      <w:jc w:val="center"/>
      <w:outlineLvl w:val="7"/>
    </w:pPr>
    <w:rPr>
      <w:rFonts w:ascii="黑体" w:eastAsia="黑体"/>
      <w:b/>
      <w:bCs/>
      <w:sz w:val="18"/>
      <w:szCs w:val="21"/>
    </w:rPr>
  </w:style>
  <w:style w:type="paragraph" w:styleId="9">
    <w:name w:val="heading 9"/>
    <w:basedOn w:val="1"/>
    <w:next w:val="1"/>
    <w:qFormat/>
    <w:uiPriority w:val="0"/>
    <w:pPr>
      <w:keepNext/>
      <w:framePr w:hSpace="180" w:wrap="notBeside" w:vAnchor="margin" w:hAnchor="margin" w:y="618"/>
      <w:spacing w:before="120" w:after="120" w:line="360" w:lineRule="auto"/>
      <w:ind w:right="-36" w:rightChars="-17"/>
      <w:outlineLvl w:val="8"/>
    </w:pPr>
    <w:rPr>
      <w:rFonts w:ascii="黑体" w:eastAsia="黑体"/>
      <w:b/>
      <w:bCs/>
      <w:szCs w:val="21"/>
    </w:rPr>
  </w:style>
  <w:style w:type="character" w:default="1" w:styleId="34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  <w:rPr>
      <w:sz w:val="21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0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21"/>
    </w:rPr>
  </w:style>
  <w:style w:type="paragraph" w:styleId="11">
    <w:name w:val="Note Heading"/>
    <w:basedOn w:val="1"/>
    <w:next w:val="1"/>
    <w:qFormat/>
    <w:uiPriority w:val="0"/>
    <w:pPr>
      <w:jc w:val="center"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Body Text Indent"/>
    <w:basedOn w:val="1"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21"/>
    </w:rPr>
  </w:style>
  <w:style w:type="paragraph" w:styleId="15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 w:val="20"/>
    </w:rPr>
  </w:style>
  <w:style w:type="paragraph" w:styleId="1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21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spacing w:line="360" w:lineRule="auto"/>
      <w:ind w:firstLine="560" w:firstLineChars="200"/>
    </w:pPr>
    <w:rPr>
      <w:spacing w:val="20"/>
      <w:sz w:val="24"/>
    </w:r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  <w:sz w:val="20"/>
    </w:rPr>
  </w:style>
  <w:style w:type="paragraph" w:styleId="24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21"/>
    </w:rPr>
  </w:style>
  <w:style w:type="paragraph" w:styleId="2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6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21"/>
    </w:rPr>
  </w:style>
  <w:style w:type="paragraph" w:styleId="2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8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</w:rPr>
  </w:style>
  <w:style w:type="paragraph" w:styleId="29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21"/>
    </w:rPr>
  </w:style>
  <w:style w:type="paragraph" w:styleId="30">
    <w:name w:val="Normal (Web)"/>
    <w:basedOn w:val="1"/>
    <w:qFormat/>
    <w:uiPriority w:val="0"/>
    <w:pPr>
      <w:widowControl/>
      <w:spacing w:before="144" w:after="144"/>
      <w:jc w:val="left"/>
    </w:pPr>
    <w:rPr>
      <w:rFonts w:ascii="宋体" w:hAnsi="宋体" w:cs="宋体"/>
      <w:kern w:val="0"/>
      <w:sz w:val="24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Web 2"/>
    <w:basedOn w:val="31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qFormat/>
    <w:uiPriority w:val="0"/>
  </w:style>
  <w:style w:type="character" w:styleId="37">
    <w:name w:val="FollowedHyperlink"/>
    <w:qFormat/>
    <w:uiPriority w:val="0"/>
    <w:rPr>
      <w:color w:val="800080"/>
      <w:u w:val="single"/>
    </w:rPr>
  </w:style>
  <w:style w:type="character" w:styleId="38">
    <w:name w:val="Hyperlink"/>
    <w:qFormat/>
    <w:uiPriority w:val="0"/>
    <w:rPr>
      <w:rFonts w:hint="default" w:ascii="ˎ̥" w:hAnsi="ˎ̥"/>
      <w:color w:val="3E8080"/>
      <w:u w:val="single"/>
    </w:rPr>
  </w:style>
  <w:style w:type="character" w:customStyle="1" w:styleId="39">
    <w:name w:val="zl-txt1"/>
    <w:qFormat/>
    <w:uiPriority w:val="0"/>
    <w:rPr>
      <w:color w:val="FF0000"/>
    </w:rPr>
  </w:style>
  <w:style w:type="character" w:customStyle="1" w:styleId="40">
    <w:name w:val="alldata"/>
    <w:qFormat/>
    <w:uiPriority w:val="0"/>
  </w:style>
  <w:style w:type="paragraph" w:customStyle="1" w:styleId="41">
    <w:name w:val="样式11"/>
    <w:basedOn w:val="8"/>
    <w:next w:val="1"/>
    <w:qFormat/>
    <w:uiPriority w:val="0"/>
    <w:pPr>
      <w:keepNext w:val="0"/>
      <w:numPr>
        <w:ilvl w:val="0"/>
        <w:numId w:val="1"/>
      </w:numPr>
      <w:spacing w:before="0" w:after="0"/>
      <w:ind w:right="0" w:rightChars="0"/>
      <w:jc w:val="left"/>
    </w:pPr>
    <w:rPr>
      <w:rFonts w:ascii="宋体" w:hAnsi="宋体" w:eastAsia="宋体"/>
      <w:b w:val="0"/>
      <w:bCs w:val="0"/>
      <w:kern w:val="0"/>
      <w:sz w:val="32"/>
      <w:szCs w:val="28"/>
    </w:rPr>
  </w:style>
  <w:style w:type="paragraph" w:customStyle="1" w:styleId="42">
    <w:name w:val="_Style 40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43">
    <w:name w:val=" 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5">
    <w:name w:val=" 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46">
    <w:name w:val="_Style 44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3045</Words>
  <Characters>3518</Characters>
  <Lines>17</Lines>
  <Paragraphs>4</Paragraphs>
  <TotalTime>44</TotalTime>
  <ScaleCrop>false</ScaleCrop>
  <LinksUpToDate>false</LinksUpToDate>
  <CharactersWithSpaces>3581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2012-09-13T01:29:00Z</dcterms:created>
  <dc:creator>zhubo</dc:creator>
  <cp:lastModifiedBy>宋南</cp:lastModifiedBy>
  <cp:lastPrinted>2023-05-31T03:28:00Z</cp:lastPrinted>
  <dcterms:modified xsi:type="dcterms:W3CDTF">2023-06-12T02:11:01Z</dcterms:modified>
  <dc:title>中国工商银行北京分行房山培训中心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EA73B648BCF640A0921E318FA3C37B9D_13</vt:lpwstr>
  </property>
</Properties>
</file>